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CF1F" w14:textId="77777777" w:rsidR="004648C2" w:rsidRPr="004648C2" w:rsidRDefault="004648C2" w:rsidP="004648C2">
      <w:pPr>
        <w:widowControl/>
        <w:pBdr>
          <w:bottom w:val="single" w:sz="6" w:space="1" w:color="auto"/>
        </w:pBdr>
        <w:jc w:val="center"/>
        <w:rPr>
          <w:rFonts w:ascii="Arial" w:eastAsia="新細明體" w:hAnsi="Arial" w:cs="Arial" w:hint="eastAsia"/>
          <w:vanish/>
          <w:kern w:val="0"/>
          <w:sz w:val="16"/>
          <w:szCs w:val="16"/>
        </w:rPr>
      </w:pPr>
      <w:r w:rsidRPr="004648C2">
        <w:rPr>
          <w:rFonts w:ascii="Arial" w:eastAsia="新細明體" w:hAnsi="Arial" w:cs="Arial" w:hint="eastAsia"/>
          <w:vanish/>
          <w:kern w:val="0"/>
          <w:sz w:val="16"/>
          <w:szCs w:val="16"/>
        </w:rPr>
        <w:t>表單的頂端</w:t>
      </w:r>
    </w:p>
    <w:tbl>
      <w:tblPr>
        <w:tblW w:w="5000" w:type="pct"/>
        <w:tblCellSpacing w:w="0" w:type="dxa"/>
        <w:tblCellMar>
          <w:left w:w="0" w:type="dxa"/>
          <w:right w:w="0" w:type="dxa"/>
        </w:tblCellMar>
        <w:tblLook w:val="04A0" w:firstRow="1" w:lastRow="0" w:firstColumn="1" w:lastColumn="0" w:noHBand="0" w:noVBand="1"/>
      </w:tblPr>
      <w:tblGrid>
        <w:gridCol w:w="8306"/>
      </w:tblGrid>
      <w:tr w:rsidR="004648C2" w:rsidRPr="004648C2" w14:paraId="1C34CB24" w14:textId="77777777" w:rsidTr="004648C2">
        <w:trPr>
          <w:tblCellSpacing w:w="0" w:type="dxa"/>
        </w:trPr>
        <w:tc>
          <w:tcPr>
            <w:tcW w:w="0" w:type="auto"/>
            <w:shd w:val="clear" w:color="auto" w:fill="F1F1F1"/>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4648C2" w:rsidRPr="004648C2" w14:paraId="0ADB4381" w14:textId="77777777" w:rsidTr="004648C2">
              <w:trPr>
                <w:tblCellSpacing w:w="0" w:type="dxa"/>
              </w:trPr>
              <w:tc>
                <w:tcPr>
                  <w:tcW w:w="0" w:type="auto"/>
                  <w:vAlign w:val="center"/>
                  <w:hideMark/>
                </w:tcPr>
                <w:tbl>
                  <w:tblPr>
                    <w:tblW w:w="5000" w:type="pct"/>
                    <w:tblCellSpacing w:w="0" w:type="dxa"/>
                    <w:tblBorders>
                      <w:top w:val="single" w:sz="6" w:space="0" w:color="D9D9D9"/>
                      <w:left w:val="single" w:sz="6" w:space="0" w:color="D9D9D9"/>
                      <w:bottom w:val="single" w:sz="6" w:space="0" w:color="D9D9D9"/>
                      <w:right w:val="single" w:sz="6" w:space="0" w:color="D9D9D9"/>
                    </w:tblBorders>
                    <w:shd w:val="clear" w:color="auto" w:fill="FFFFFF"/>
                    <w:tblCellMar>
                      <w:left w:w="0" w:type="dxa"/>
                      <w:right w:w="0" w:type="dxa"/>
                    </w:tblCellMar>
                    <w:tblLook w:val="04A0" w:firstRow="1" w:lastRow="0" w:firstColumn="1" w:lastColumn="0" w:noHBand="0" w:noVBand="1"/>
                  </w:tblPr>
                  <w:tblGrid>
                    <w:gridCol w:w="8290"/>
                  </w:tblGrid>
                  <w:tr w:rsidR="004648C2" w:rsidRPr="004648C2" w14:paraId="0A9C4092" w14:textId="77777777" w:rsidTr="004648C2">
                    <w:trPr>
                      <w:tblCellSpacing w:w="0" w:type="dxa"/>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60"/>
                        </w:tblGrid>
                        <w:tr w:rsidR="004648C2" w:rsidRPr="004648C2" w14:paraId="65D9608B" w14:textId="77777777">
                          <w:trPr>
                            <w:tblCellSpacing w:w="15" w:type="dxa"/>
                          </w:trPr>
                          <w:tc>
                            <w:tcPr>
                              <w:tcW w:w="0" w:type="auto"/>
                              <w:tcMar>
                                <w:top w:w="0" w:type="dxa"/>
                                <w:left w:w="0" w:type="dxa"/>
                                <w:bottom w:w="0" w:type="dxa"/>
                                <w:right w:w="0" w:type="dxa"/>
                              </w:tcMar>
                              <w:vAlign w:val="center"/>
                              <w:hideMark/>
                            </w:tcPr>
                            <w:tbl>
                              <w:tblPr>
                                <w:tblW w:w="0" w:type="auto"/>
                                <w:tblCellSpacing w:w="0" w:type="dxa"/>
                                <w:tblCellMar>
                                  <w:top w:w="140" w:type="dxa"/>
                                  <w:left w:w="140" w:type="dxa"/>
                                  <w:bottom w:w="140" w:type="dxa"/>
                                  <w:right w:w="140" w:type="dxa"/>
                                </w:tblCellMar>
                                <w:tblLook w:val="04A0" w:firstRow="1" w:lastRow="0" w:firstColumn="1" w:lastColumn="0" w:noHBand="0" w:noVBand="1"/>
                              </w:tblPr>
                              <w:tblGrid>
                                <w:gridCol w:w="8195"/>
                                <w:gridCol w:w="5"/>
                              </w:tblGrid>
                              <w:tr w:rsidR="004648C2" w:rsidRPr="004648C2" w14:paraId="3A82DE16" w14:textId="77777777">
                                <w:trPr>
                                  <w:tblCellSpacing w:w="0" w:type="dxa"/>
                                </w:trPr>
                                <w:tc>
                                  <w:tcPr>
                                    <w:tcW w:w="10421" w:type="dxa"/>
                                    <w:tcMar>
                                      <w:top w:w="0" w:type="dxa"/>
                                      <w:left w:w="0" w:type="dxa"/>
                                      <w:bottom w:w="0" w:type="dxa"/>
                                      <w:right w:w="0" w:type="dxa"/>
                                    </w:tcMar>
                                    <w:hideMark/>
                                  </w:tcPr>
                                  <w:tbl>
                                    <w:tblPr>
                                      <w:tblW w:w="10361" w:type="dxa"/>
                                      <w:tblCellMar>
                                        <w:top w:w="15" w:type="dxa"/>
                                        <w:left w:w="15" w:type="dxa"/>
                                        <w:bottom w:w="15" w:type="dxa"/>
                                        <w:right w:w="15" w:type="dxa"/>
                                      </w:tblCellMar>
                                      <w:tblLook w:val="04A0" w:firstRow="1" w:lastRow="0" w:firstColumn="1" w:lastColumn="0" w:noHBand="0" w:noVBand="1"/>
                                    </w:tblPr>
                                    <w:tblGrid>
                                      <w:gridCol w:w="10361"/>
                                    </w:tblGrid>
                                    <w:tr w:rsidR="004648C2" w:rsidRPr="004648C2" w14:paraId="5DBF865D" w14:textId="77777777" w:rsidTr="004648C2">
                                      <w:tc>
                                        <w:tcPr>
                                          <w:tcW w:w="10361" w:type="dxa"/>
                                          <w:shd w:val="clear" w:color="auto" w:fill="FFFFFF"/>
                                          <w:tcMar>
                                            <w:top w:w="0" w:type="dxa"/>
                                            <w:left w:w="0" w:type="dxa"/>
                                            <w:bottom w:w="0" w:type="dxa"/>
                                            <w:right w:w="0" w:type="dxa"/>
                                          </w:tcMar>
                                          <w:vAlign w:val="center"/>
                                          <w:hideMark/>
                                        </w:tcPr>
                                        <w:p w14:paraId="68569C85" w14:textId="77777777" w:rsidR="004648C2" w:rsidRPr="004648C2" w:rsidRDefault="004648C2" w:rsidP="004648C2">
                                          <w:pPr>
                                            <w:widowControl/>
                                            <w:jc w:val="both"/>
                                            <w:rPr>
                                              <w:rFonts w:ascii="新細明體" w:eastAsia="新細明體" w:hAnsi="新細明體" w:cs="新細明體"/>
                                              <w:color w:val="666666"/>
                                              <w:kern w:val="0"/>
                                              <w:sz w:val="22"/>
                                              <w:szCs w:val="22"/>
                                            </w:rPr>
                                          </w:pPr>
                                          <w:r w:rsidRPr="004648C2">
                                            <w:rPr>
                                              <w:rFonts w:ascii="新細明體" w:eastAsia="新細明體" w:hAnsi="新細明體" w:cs="新細明體"/>
                                              <w:color w:val="666666"/>
                                              <w:kern w:val="0"/>
                                              <w:sz w:val="22"/>
                                              <w:szCs w:val="22"/>
                                            </w:rPr>
                                            <w:t>山胡椒</w:t>
                                          </w:r>
                                          <w:proofErr w:type="spellStart"/>
                                          <w:r w:rsidRPr="004648C2">
                                            <w:rPr>
                                              <w:rFonts w:ascii="新細明體" w:eastAsia="新細明體" w:hAnsi="新細明體" w:cs="新細明體"/>
                                              <w:color w:val="666666"/>
                                              <w:kern w:val="0"/>
                                              <w:sz w:val="22"/>
                                              <w:szCs w:val="22"/>
                                            </w:rPr>
                                            <w:t>Litsea</w:t>
                                          </w:r>
                                          <w:proofErr w:type="spellEnd"/>
                                          <w:r w:rsidRPr="004648C2">
                                            <w:rPr>
                                              <w:rFonts w:ascii="新細明體" w:eastAsia="新細明體" w:hAnsi="新細明體" w:cs="新細明體"/>
                                              <w:color w:val="666666"/>
                                              <w:kern w:val="0"/>
                                              <w:sz w:val="22"/>
                                              <w:szCs w:val="22"/>
                                            </w:rPr>
                                            <w:t xml:space="preserve"> cubeba (</w:t>
                                          </w:r>
                                          <w:proofErr w:type="spellStart"/>
                                          <w:r w:rsidRPr="004648C2">
                                            <w:rPr>
                                              <w:rFonts w:ascii="新細明體" w:eastAsia="新細明體" w:hAnsi="新細明體" w:cs="新細明體"/>
                                              <w:color w:val="666666"/>
                                              <w:kern w:val="0"/>
                                              <w:sz w:val="22"/>
                                              <w:szCs w:val="22"/>
                                            </w:rPr>
                                            <w:t>Lour</w:t>
                                          </w:r>
                                          <w:proofErr w:type="spellEnd"/>
                                          <w:r w:rsidRPr="004648C2">
                                            <w:rPr>
                                              <w:rFonts w:ascii="新細明體" w:eastAsia="新細明體" w:hAnsi="新細明體" w:cs="新細明體"/>
                                              <w:color w:val="666666"/>
                                              <w:kern w:val="0"/>
                                              <w:sz w:val="22"/>
                                              <w:szCs w:val="22"/>
                                            </w:rPr>
                                            <w:t>.) Pers. 為臺灣泰雅族香料「馬告」，果實帶有檸檬、胡椒及薑香氣及辛辣味，多為乾燥加工品。乾燥處理對山胡椒果實之香氣及抗氧化成分影響尚未明確；果實成熟度及產地對臺灣山胡椒之揮發性化合物及機能性成分影響之研究亦不多。本研究針對乾燥方式、果實成熟度及產地，透過分析其香氣組成、總多元酚含量及抗氧化能力，期望能暸解其對山胡椒果實之影響，找出能保留特色並有效率之乾燥方法。乾燥條件包括-50℃冷凍乾燥、40℃、60℃、80℃熱風烘乾及日曬乾燥，山胡椒果實乾燥後的主要香氣化合物皆為檸檬醛。以-50℃冷凍乾燥可保留最多單萜類化合物、總酚及抗氧化能力，總酚含量達17.95±0.39 mg/g，DPPH及ABTS自由基清除能力分別為33.61±4.48%及71.36±2.21%。以熱風80℃烘乾則可有效乾燥，乾燥時間縮短至9小時，並適度保留香氣、總酚及抗氧化能力，總酚含量達14.44±0.30 mg/g，DPPH及ABTS自由基清除能力分別為20.97±2.94%及58.36±3.79%。山胡椒果實成熟前有較多帶清新氣味之單萜類化合物如檸檬烯，成熟後檸檬醛組成提高，總多元酚及抗氧化能力亦顯著增加，DPPH自由基清除能力分別從49.18±2.49%及53.36±0.47%增加到66.10±1.21%及64.97±1.74%。採自4個產區的9個山胡椒果實樣品共分析出13種共同芳香化合物。南投梅峰果實總多元酚含量最高，但以花蓮2號及烏來野生果實抗氧化能力最強，DPPH自由基清除能力為63.25±5.52%及66.22±0.36%，ABTS自由基清除能力為91.15±1.39%及92.20±0.44%。山胡椒葉片、枝條、果梗及花朵之總多元酚含量及抗氧化能力均比果實高，三單株果實DPPH自由基清除能力為43.71±1.52%至63.25±5.52%，葉片及枝條則高達75.56±0.95%至82.62±0.42%。果實兩倍稀釋萃取液的ABTS自由基清除能力從85.26±4.11%至91.15±1.39%，果梗及花朵萃取液稀釋32倍仍有57.32±2.98%至64.00±1.96%清除率。</w:t>
                                          </w:r>
                                        </w:p>
                                      </w:tc>
                                    </w:tr>
                                  </w:tbl>
                                  <w:p w14:paraId="17928BC8" w14:textId="77777777" w:rsidR="004648C2" w:rsidRPr="004648C2" w:rsidRDefault="004648C2" w:rsidP="004648C2">
                                    <w:pPr>
                                      <w:widowControl/>
                                      <w:shd w:val="clear" w:color="auto" w:fill="FFFFFF"/>
                                      <w:wordWrap w:val="0"/>
                                      <w:rPr>
                                        <w:rFonts w:ascii="新細明體" w:eastAsia="新細明體" w:hAnsi="新細明體" w:cs="新細明體"/>
                                        <w:kern w:val="0"/>
                                        <w:sz w:val="22"/>
                                        <w:szCs w:val="22"/>
                                      </w:rPr>
                                    </w:pPr>
                                  </w:p>
                                </w:tc>
                                <w:tc>
                                  <w:tcPr>
                                    <w:tcW w:w="213" w:type="dxa"/>
                                    <w:tcMar>
                                      <w:top w:w="0" w:type="dxa"/>
                                      <w:left w:w="0" w:type="dxa"/>
                                      <w:bottom w:w="0" w:type="dxa"/>
                                      <w:right w:w="0" w:type="dxa"/>
                                    </w:tcMar>
                                    <w:hideMark/>
                                  </w:tcPr>
                                  <w:p w14:paraId="6C094401" w14:textId="77777777" w:rsidR="004648C2" w:rsidRPr="004648C2" w:rsidRDefault="004648C2" w:rsidP="004648C2">
                                    <w:pPr>
                                      <w:widowControl/>
                                      <w:rPr>
                                        <w:rFonts w:ascii="Times New Roman" w:eastAsia="Times New Roman" w:hAnsi="Times New Roman" w:cs="Times New Roman"/>
                                        <w:kern w:val="0"/>
                                        <w:sz w:val="20"/>
                                        <w:szCs w:val="20"/>
                                      </w:rPr>
                                    </w:pPr>
                                  </w:p>
                                </w:tc>
                              </w:tr>
                              <w:tr w:rsidR="004648C2" w:rsidRPr="004648C2" w14:paraId="552A8B5C" w14:textId="77777777">
                                <w:trPr>
                                  <w:tblCellSpacing w:w="0" w:type="dxa"/>
                                </w:trPr>
                                <w:tc>
                                  <w:tcPr>
                                    <w:tcW w:w="0" w:type="auto"/>
                                    <w:gridSpan w:val="2"/>
                                    <w:tcMar>
                                      <w:top w:w="0" w:type="dxa"/>
                                      <w:left w:w="0" w:type="dxa"/>
                                      <w:bottom w:w="0" w:type="dxa"/>
                                      <w:right w:w="0" w:type="dxa"/>
                                    </w:tcMar>
                                    <w:vAlign w:val="center"/>
                                    <w:hideMark/>
                                  </w:tcPr>
                                  <w:p w14:paraId="2B9D8600" w14:textId="77777777" w:rsidR="004648C2" w:rsidRPr="004648C2" w:rsidRDefault="004648C2" w:rsidP="004648C2">
                                    <w:pPr>
                                      <w:widowControl/>
                                      <w:rPr>
                                        <w:rFonts w:ascii="新細明體" w:eastAsia="新細明體" w:hAnsi="新細明體" w:cs="新細明體"/>
                                        <w:kern w:val="0"/>
                                        <w:sz w:val="22"/>
                                        <w:szCs w:val="22"/>
                                      </w:rPr>
                                    </w:pPr>
                                  </w:p>
                                </w:tc>
                              </w:tr>
                            </w:tbl>
                            <w:p w14:paraId="5C312EB3" w14:textId="77777777" w:rsidR="004648C2" w:rsidRPr="004648C2" w:rsidRDefault="004648C2" w:rsidP="004648C2">
                              <w:pPr>
                                <w:widowControl/>
                                <w:rPr>
                                  <w:rFonts w:ascii="新細明體" w:eastAsia="新細明體" w:hAnsi="新細明體" w:cs="新細明體"/>
                                  <w:kern w:val="0"/>
                                  <w:sz w:val="22"/>
                                  <w:szCs w:val="22"/>
                                </w:rPr>
                              </w:pPr>
                            </w:p>
                          </w:tc>
                        </w:tr>
                      </w:tbl>
                      <w:p w14:paraId="5F599454" w14:textId="77777777" w:rsidR="004648C2" w:rsidRPr="004648C2" w:rsidRDefault="004648C2" w:rsidP="004648C2">
                        <w:pPr>
                          <w:widowControl/>
                          <w:rPr>
                            <w:rFonts w:ascii="新細明體" w:eastAsia="新細明體" w:hAnsi="新細明體" w:cs="新細明體"/>
                            <w:kern w:val="0"/>
                            <w:sz w:val="22"/>
                            <w:szCs w:val="22"/>
                          </w:rPr>
                        </w:pPr>
                      </w:p>
                    </w:tc>
                  </w:tr>
                </w:tbl>
                <w:p w14:paraId="2765E3A7" w14:textId="77777777" w:rsidR="004648C2" w:rsidRPr="004648C2" w:rsidRDefault="004648C2" w:rsidP="004648C2">
                  <w:pPr>
                    <w:widowControl/>
                    <w:rPr>
                      <w:rFonts w:ascii="新細明體" w:eastAsia="新細明體" w:hAnsi="新細明體" w:cs="新細明體"/>
                      <w:kern w:val="0"/>
                      <w:sz w:val="22"/>
                      <w:szCs w:val="22"/>
                    </w:rPr>
                  </w:pPr>
                </w:p>
              </w:tc>
            </w:tr>
          </w:tbl>
          <w:p w14:paraId="18B96A6E" w14:textId="77777777" w:rsidR="004648C2" w:rsidRPr="004648C2" w:rsidRDefault="004648C2" w:rsidP="004648C2">
            <w:pPr>
              <w:widowControl/>
              <w:rPr>
                <w:rFonts w:ascii="新細明體" w:eastAsia="新細明體" w:hAnsi="新細明體" w:cs="新細明體"/>
                <w:kern w:val="0"/>
                <w:sz w:val="22"/>
                <w:szCs w:val="22"/>
              </w:rPr>
            </w:pPr>
          </w:p>
        </w:tc>
      </w:tr>
    </w:tbl>
    <w:p w14:paraId="16A16ED6" w14:textId="77777777" w:rsidR="004648C2" w:rsidRPr="004648C2" w:rsidRDefault="004648C2" w:rsidP="004648C2">
      <w:pPr>
        <w:widowControl/>
        <w:spacing w:before="100" w:beforeAutospacing="1" w:after="100" w:afterAutospacing="1"/>
        <w:jc w:val="both"/>
        <w:outlineLvl w:val="1"/>
        <w:rPr>
          <w:rFonts w:ascii="LiHei Pro  Medium" w:eastAsia="LiHei Pro  Medium" w:hAnsi="LiHei Pro  Medium" w:cs="新細明體"/>
          <w:b/>
          <w:bCs/>
          <w:color w:val="222222"/>
          <w:spacing w:val="15"/>
          <w:kern w:val="0"/>
          <w:sz w:val="45"/>
          <w:szCs w:val="45"/>
        </w:rPr>
      </w:pPr>
      <w:r w:rsidRPr="004648C2">
        <w:rPr>
          <w:rFonts w:ascii="LiHei Pro  Medium" w:eastAsia="LiHei Pro  Medium" w:hAnsi="LiHei Pro  Medium" w:cs="新細明體" w:hint="eastAsia"/>
          <w:b/>
          <w:bCs/>
          <w:color w:val="222222"/>
          <w:spacing w:val="15"/>
          <w:kern w:val="0"/>
          <w:sz w:val="45"/>
          <w:szCs w:val="45"/>
        </w:rPr>
        <w:t>馬告不僅增添香氣，還可保健身體</w:t>
      </w:r>
    </w:p>
    <w:p w14:paraId="4A25C628" w14:textId="77777777" w:rsidR="004648C2" w:rsidRPr="004648C2" w:rsidRDefault="004648C2" w:rsidP="004648C2">
      <w:pPr>
        <w:widowControl/>
        <w:spacing w:before="100" w:beforeAutospacing="1" w:after="100" w:afterAutospacing="1"/>
        <w:jc w:val="both"/>
        <w:rPr>
          <w:rFonts w:ascii="LiHei Pro  Medium" w:eastAsia="LiHei Pro  Medium" w:hAnsi="LiHei Pro  Medium" w:cs="新細明體" w:hint="eastAsia"/>
          <w:color w:val="222222"/>
          <w:spacing w:val="15"/>
          <w:kern w:val="0"/>
          <w:sz w:val="30"/>
          <w:szCs w:val="30"/>
        </w:rPr>
      </w:pPr>
      <w:r w:rsidRPr="004648C2">
        <w:rPr>
          <w:rFonts w:ascii="LiHei Pro  Medium" w:eastAsia="LiHei Pro  Medium" w:hAnsi="LiHei Pro  Medium" w:cs="新細明體" w:hint="eastAsia"/>
          <w:color w:val="222222"/>
          <w:spacing w:val="15"/>
          <w:kern w:val="0"/>
          <w:sz w:val="30"/>
          <w:szCs w:val="30"/>
        </w:rPr>
        <w:t>除了美味，民間還認為馬告可以祛風濕、消腫、解毒、止痛。近年許多研究指出，馬告具有抗細菌、抗真菌、防蛀蟲、白蟻及塵 、抗氧化、抗癌、調節中樞神經活性、抑制骨關節炎活性及改善代謝症候群等功效。</w:t>
      </w:r>
    </w:p>
    <w:p w14:paraId="262FD223" w14:textId="77777777" w:rsidR="004648C2" w:rsidRPr="004648C2" w:rsidRDefault="004648C2" w:rsidP="004648C2">
      <w:pPr>
        <w:widowControl/>
        <w:spacing w:before="100" w:beforeAutospacing="1" w:after="100" w:afterAutospacing="1"/>
        <w:jc w:val="both"/>
        <w:rPr>
          <w:rFonts w:ascii="LiHei Pro  Medium" w:eastAsia="LiHei Pro  Medium" w:hAnsi="LiHei Pro  Medium" w:cs="新細明體" w:hint="eastAsia"/>
          <w:color w:val="222222"/>
          <w:spacing w:val="15"/>
          <w:kern w:val="0"/>
          <w:sz w:val="30"/>
          <w:szCs w:val="30"/>
        </w:rPr>
      </w:pPr>
      <w:r w:rsidRPr="004648C2">
        <w:rPr>
          <w:rFonts w:ascii="LiHei Pro  Medium" w:eastAsia="LiHei Pro  Medium" w:hAnsi="LiHei Pro  Medium" w:cs="新細明體" w:hint="eastAsia"/>
          <w:color w:val="222222"/>
          <w:spacing w:val="15"/>
          <w:kern w:val="0"/>
          <w:sz w:val="30"/>
          <w:szCs w:val="30"/>
        </w:rPr>
        <w:t>中興大學森林學系特聘教授王升陽與副教授曾彥學曾組成研究團隊，分析馬告的揮發成分，實驗觀察馬告對動物中樞神經系統的影響。歷經2年的研究，結果證實，馬告具有安眠、抗憂鬱、抗焦慮、鎮靜、止痛的效果。對於苦於失眠、頭痛、憂鬱、焦慮、腰痠背痛、慢性疲勞等身心疾病的</w:t>
      </w:r>
      <w:r w:rsidRPr="004648C2">
        <w:rPr>
          <w:rFonts w:ascii="LiHei Pro  Medium" w:eastAsia="LiHei Pro  Medium" w:hAnsi="LiHei Pro  Medium" w:cs="新細明體" w:hint="eastAsia"/>
          <w:color w:val="222222"/>
          <w:spacing w:val="15"/>
          <w:kern w:val="0"/>
          <w:sz w:val="30"/>
          <w:szCs w:val="30"/>
        </w:rPr>
        <w:lastRenderedPageBreak/>
        <w:t>現代人，王升陽教授建議可使用馬告精油緩解。（推薦閱讀：</w:t>
      </w:r>
      <w:r w:rsidRPr="004648C2">
        <w:rPr>
          <w:rFonts w:ascii="LiHei Pro  Medium" w:eastAsia="LiHei Pro  Medium" w:hAnsi="LiHei Pro  Medium" w:cs="新細明體"/>
          <w:color w:val="222222"/>
          <w:spacing w:val="15"/>
          <w:kern w:val="0"/>
          <w:sz w:val="30"/>
          <w:szCs w:val="30"/>
        </w:rPr>
        <w:fldChar w:fldCharType="begin"/>
      </w:r>
      <w:r w:rsidRPr="004648C2">
        <w:rPr>
          <w:rFonts w:ascii="LiHei Pro  Medium" w:eastAsia="LiHei Pro  Medium" w:hAnsi="LiHei Pro  Medium" w:cs="新細明體"/>
          <w:color w:val="222222"/>
          <w:spacing w:val="15"/>
          <w:kern w:val="0"/>
          <w:sz w:val="30"/>
          <w:szCs w:val="30"/>
        </w:rPr>
        <w:instrText xml:space="preserve"> HYPERLINK "https://www.commonhealth.com.tw/article/73417?from=article-84698" \t "_blank" </w:instrText>
      </w:r>
      <w:r w:rsidRPr="004648C2">
        <w:rPr>
          <w:rFonts w:ascii="LiHei Pro  Medium" w:eastAsia="LiHei Pro  Medium" w:hAnsi="LiHei Pro  Medium" w:cs="新細明體"/>
          <w:color w:val="222222"/>
          <w:spacing w:val="15"/>
          <w:kern w:val="0"/>
          <w:sz w:val="30"/>
          <w:szCs w:val="30"/>
        </w:rPr>
        <w:fldChar w:fldCharType="separate"/>
      </w:r>
      <w:r w:rsidRPr="004648C2">
        <w:rPr>
          <w:rFonts w:ascii="LiHei Pro  Medium" w:eastAsia="LiHei Pro  Medium" w:hAnsi="LiHei Pro  Medium" w:cs="新細明體" w:hint="eastAsia"/>
          <w:color w:val="009944"/>
          <w:spacing w:val="15"/>
          <w:kern w:val="0"/>
          <w:sz w:val="30"/>
          <w:szCs w:val="30"/>
          <w:u w:val="single"/>
        </w:rPr>
        <w:t>漬物語》柯亞教學：糖漬鳳梨、扶桑花蘋果蜜、馬告鹹豬肉</w:t>
      </w:r>
      <w:r w:rsidRPr="004648C2">
        <w:rPr>
          <w:rFonts w:ascii="LiHei Pro  Medium" w:eastAsia="LiHei Pro  Medium" w:hAnsi="LiHei Pro  Medium" w:cs="新細明體"/>
          <w:color w:val="222222"/>
          <w:spacing w:val="15"/>
          <w:kern w:val="0"/>
          <w:sz w:val="30"/>
          <w:szCs w:val="30"/>
        </w:rPr>
        <w:fldChar w:fldCharType="end"/>
      </w:r>
      <w:r w:rsidRPr="004648C2">
        <w:rPr>
          <w:rFonts w:ascii="LiHei Pro  Medium" w:eastAsia="LiHei Pro  Medium" w:hAnsi="LiHei Pro  Medium" w:cs="新細明體" w:hint="eastAsia"/>
          <w:color w:val="222222"/>
          <w:spacing w:val="15"/>
          <w:kern w:val="0"/>
          <w:sz w:val="30"/>
          <w:szCs w:val="30"/>
        </w:rPr>
        <w:t>）</w:t>
      </w:r>
    </w:p>
    <w:p w14:paraId="139D47E2" w14:textId="77777777" w:rsidR="004648C2" w:rsidRPr="004648C2" w:rsidRDefault="004648C2" w:rsidP="004648C2">
      <w:pPr>
        <w:widowControl/>
        <w:spacing w:before="100" w:beforeAutospacing="1" w:after="100" w:afterAutospacing="1"/>
        <w:jc w:val="both"/>
        <w:rPr>
          <w:rFonts w:ascii="LiHei Pro  Medium" w:eastAsia="LiHei Pro  Medium" w:hAnsi="LiHei Pro  Medium" w:cs="新細明體" w:hint="eastAsia"/>
          <w:color w:val="222222"/>
          <w:spacing w:val="15"/>
          <w:kern w:val="0"/>
          <w:sz w:val="30"/>
          <w:szCs w:val="30"/>
        </w:rPr>
      </w:pPr>
      <w:r w:rsidRPr="004648C2">
        <w:rPr>
          <w:rFonts w:ascii="LiHei Pro  Medium" w:eastAsia="LiHei Pro  Medium" w:hAnsi="LiHei Pro  Medium" w:cs="新細明體" w:hint="eastAsia"/>
          <w:color w:val="222222"/>
          <w:spacing w:val="15"/>
          <w:kern w:val="0"/>
          <w:sz w:val="30"/>
          <w:szCs w:val="30"/>
        </w:rPr>
        <w:t>台灣芳療協會亦指出馬告精油可以促進食慾，紓緩脹氣、反胃等不適，在吃完油膩食物之後還可以減輕腸胃負擔。此外，馬告精油可以促進血液循環，預防心血管疾病，具有溫和的抗發炎效果。加上馬告的安眠、鎮痛、抗憂鬱等效果，很適合搭配柑橘調的精油，在焦慮與不安時，幫助人們平靜下來。</w:t>
      </w:r>
    </w:p>
    <w:p w14:paraId="13DB614D" w14:textId="77777777" w:rsidR="004648C2" w:rsidRPr="004648C2" w:rsidRDefault="004648C2" w:rsidP="004648C2">
      <w:pPr>
        <w:widowControl/>
        <w:spacing w:before="100" w:beforeAutospacing="1" w:after="100" w:afterAutospacing="1"/>
        <w:jc w:val="both"/>
        <w:rPr>
          <w:rFonts w:ascii="LiHei Pro  Medium" w:eastAsia="LiHei Pro  Medium" w:hAnsi="LiHei Pro  Medium" w:cs="新細明體" w:hint="eastAsia"/>
          <w:color w:val="222222"/>
          <w:spacing w:val="15"/>
          <w:kern w:val="0"/>
          <w:sz w:val="30"/>
          <w:szCs w:val="30"/>
        </w:rPr>
      </w:pPr>
      <w:r w:rsidRPr="004648C2">
        <w:rPr>
          <w:rFonts w:ascii="LiHei Pro  Medium" w:eastAsia="LiHei Pro  Medium" w:hAnsi="LiHei Pro  Medium" w:cs="新細明體" w:hint="eastAsia"/>
          <w:color w:val="222222"/>
          <w:spacing w:val="15"/>
          <w:kern w:val="0"/>
          <w:sz w:val="30"/>
          <w:szCs w:val="30"/>
        </w:rPr>
        <w:t>所以，馬告確實是祖靈傳下來的寶物，不僅為食物增添香氣，還可保健身體，沖散心裡密布的烏雲。</w:t>
      </w:r>
    </w:p>
    <w:p w14:paraId="1D67C06A" w14:textId="77777777" w:rsidR="004648C2" w:rsidRDefault="004648C2" w:rsidP="004648C2">
      <w:pPr>
        <w:pStyle w:val="Web"/>
        <w:jc w:val="both"/>
        <w:rPr>
          <w:rFonts w:ascii="LiHei Pro  Medium" w:eastAsia="LiHei Pro  Medium" w:hAnsi="LiHei Pro  Medium"/>
          <w:color w:val="222222"/>
          <w:spacing w:val="15"/>
          <w:sz w:val="30"/>
          <w:szCs w:val="30"/>
        </w:rPr>
      </w:pPr>
      <w:r>
        <w:rPr>
          <w:rFonts w:ascii="LiHei Pro  Medium" w:eastAsia="LiHei Pro  Medium" w:hAnsi="LiHei Pro  Medium" w:hint="eastAsia"/>
          <w:color w:val="222222"/>
          <w:spacing w:val="15"/>
          <w:sz w:val="30"/>
          <w:szCs w:val="30"/>
        </w:rPr>
        <w:t>馬告是台灣的原生種植物，從海拔100～1,500公尺的山區都可能見到馬告。果實可作香料、花朵可泡茶、嫩葉可入菜。</w:t>
      </w:r>
    </w:p>
    <w:p w14:paraId="304D7442" w14:textId="77777777" w:rsidR="004648C2" w:rsidRDefault="004648C2" w:rsidP="004648C2">
      <w:pPr>
        <w:pStyle w:val="2"/>
        <w:jc w:val="both"/>
        <w:rPr>
          <w:rFonts w:ascii="LiHei Pro  Medium" w:eastAsia="LiHei Pro  Medium" w:hAnsi="LiHei Pro  Medium" w:hint="eastAsia"/>
          <w:color w:val="222222"/>
          <w:spacing w:val="15"/>
          <w:sz w:val="45"/>
          <w:szCs w:val="45"/>
        </w:rPr>
      </w:pPr>
      <w:r>
        <w:rPr>
          <w:rFonts w:ascii="LiHei Pro  Medium" w:eastAsia="LiHei Pro  Medium" w:hAnsi="LiHei Pro  Medium" w:hint="eastAsia"/>
          <w:color w:val="222222"/>
          <w:spacing w:val="15"/>
          <w:sz w:val="45"/>
          <w:szCs w:val="45"/>
        </w:rPr>
        <w:t>原住民口中「山林裡的黑珍珠」</w:t>
      </w:r>
    </w:p>
    <w:p w14:paraId="2671C1F9" w14:textId="77777777" w:rsidR="004648C2" w:rsidRDefault="004648C2" w:rsidP="004648C2">
      <w:pPr>
        <w:pStyle w:val="Web"/>
        <w:jc w:val="both"/>
        <w:rPr>
          <w:rFonts w:ascii="LiHei Pro  Medium" w:eastAsia="LiHei Pro  Medium" w:hAnsi="LiHei Pro  Medium" w:hint="eastAsia"/>
          <w:color w:val="222222"/>
          <w:spacing w:val="15"/>
          <w:sz w:val="30"/>
          <w:szCs w:val="30"/>
        </w:rPr>
      </w:pPr>
      <w:r>
        <w:rPr>
          <w:rFonts w:ascii="LiHei Pro  Medium" w:eastAsia="LiHei Pro  Medium" w:hAnsi="LiHei Pro  Medium" w:hint="eastAsia"/>
          <w:color w:val="222222"/>
          <w:spacing w:val="15"/>
          <w:sz w:val="30"/>
          <w:szCs w:val="30"/>
        </w:rPr>
        <w:t>馬告這個名稱源自泰雅族語（</w:t>
      </w:r>
      <w:proofErr w:type="spellStart"/>
      <w:r>
        <w:rPr>
          <w:rFonts w:ascii="LiHei Pro  Medium" w:eastAsia="LiHei Pro  Medium" w:hAnsi="LiHei Pro  Medium" w:hint="eastAsia"/>
          <w:color w:val="222222"/>
          <w:spacing w:val="15"/>
          <w:sz w:val="30"/>
          <w:szCs w:val="30"/>
        </w:rPr>
        <w:t>makauy</w:t>
      </w:r>
      <w:proofErr w:type="spellEnd"/>
      <w:r>
        <w:rPr>
          <w:rFonts w:ascii="LiHei Pro  Medium" w:eastAsia="LiHei Pro  Medium" w:hAnsi="LiHei Pro  Medium" w:hint="eastAsia"/>
          <w:color w:val="222222"/>
          <w:spacing w:val="15"/>
          <w:sz w:val="30"/>
          <w:szCs w:val="30"/>
        </w:rPr>
        <w:t>），意指充滿生機，是原住民口中「山林裡的黑珍珠」。過往山區交通不便，親</w:t>
      </w:r>
      <w:r>
        <w:rPr>
          <w:rFonts w:ascii="LiHei Pro  Medium" w:eastAsia="LiHei Pro  Medium" w:hAnsi="LiHei Pro  Medium" w:hint="eastAsia"/>
          <w:color w:val="222222"/>
          <w:spacing w:val="15"/>
          <w:sz w:val="30"/>
          <w:szCs w:val="30"/>
        </w:rPr>
        <w:lastRenderedPageBreak/>
        <w:t>戚之間久久走動一次，互贈的禮物中必有馬告。他們還會以馬告葉子包食物，防止食物腐敗，喝醉了便將馬告搗碎泡來喝，當成解酒液，疲倦時就用馬告水恢復元氣。據說，以前部落發生爭執時，長老就會給大家喝馬告水，鎮靜一下。部落流傳的諺語說：「馬告樹長出來，族人就不會生病了。」對泰雅族來說，馬告是祖靈的味道，文化的根。</w:t>
      </w:r>
    </w:p>
    <w:p w14:paraId="752B378F" w14:textId="77777777" w:rsidR="004648C2" w:rsidRDefault="004648C2" w:rsidP="004648C2">
      <w:pPr>
        <w:pStyle w:val="Web"/>
        <w:jc w:val="both"/>
        <w:rPr>
          <w:rFonts w:ascii="LiHei Pro  Medium" w:eastAsia="LiHei Pro  Medium" w:hAnsi="LiHei Pro  Medium" w:hint="eastAsia"/>
          <w:color w:val="222222"/>
          <w:spacing w:val="15"/>
          <w:sz w:val="30"/>
          <w:szCs w:val="30"/>
        </w:rPr>
      </w:pPr>
      <w:r>
        <w:rPr>
          <w:rFonts w:ascii="LiHei Pro  Medium" w:eastAsia="LiHei Pro  Medium" w:hAnsi="LiHei Pro  Medium" w:hint="eastAsia"/>
          <w:color w:val="222222"/>
          <w:spacing w:val="15"/>
          <w:sz w:val="30"/>
          <w:szCs w:val="30"/>
        </w:rPr>
        <w:t>馬告亦名「山胡椒」，香氣特殊，味道層次豐富，乍吃是嗆辣的薑味，尾味卻有淡淡的檸檬香與香茅味，有時還有堅果香、木香、柑橘香。原住民常用來去腥味，蒸魚、煮雞湯、炒肉都可以加入馬告。（推薦閱讀：</w:t>
      </w:r>
      <w:r>
        <w:rPr>
          <w:rFonts w:ascii="LiHei Pro  Medium" w:eastAsia="LiHei Pro  Medium" w:hAnsi="LiHei Pro  Medium"/>
          <w:color w:val="222222"/>
          <w:spacing w:val="15"/>
          <w:sz w:val="30"/>
          <w:szCs w:val="30"/>
        </w:rPr>
        <w:fldChar w:fldCharType="begin"/>
      </w:r>
      <w:r>
        <w:rPr>
          <w:rFonts w:ascii="LiHei Pro  Medium" w:eastAsia="LiHei Pro  Medium" w:hAnsi="LiHei Pro  Medium"/>
          <w:color w:val="222222"/>
          <w:spacing w:val="15"/>
          <w:sz w:val="30"/>
          <w:szCs w:val="30"/>
        </w:rPr>
        <w:instrText xml:space="preserve"> HYPERLINK "https://www.commonhealth.com.tw/article/73150?from=article-84698" \t "_blank" </w:instrText>
      </w:r>
      <w:r>
        <w:rPr>
          <w:rFonts w:ascii="LiHei Pro  Medium" w:eastAsia="LiHei Pro  Medium" w:hAnsi="LiHei Pro  Medium"/>
          <w:color w:val="222222"/>
          <w:spacing w:val="15"/>
          <w:sz w:val="30"/>
          <w:szCs w:val="30"/>
        </w:rPr>
        <w:fldChar w:fldCharType="separate"/>
      </w:r>
      <w:r>
        <w:rPr>
          <w:rStyle w:val="a4"/>
          <w:rFonts w:ascii="LiHei Pro  Medium" w:eastAsia="LiHei Pro  Medium" w:hAnsi="LiHei Pro  Medium" w:hint="eastAsia"/>
          <w:color w:val="009944"/>
          <w:spacing w:val="15"/>
          <w:sz w:val="30"/>
          <w:szCs w:val="30"/>
        </w:rPr>
        <w:t>這些台灣食材　比地中海飲食還抗失智</w:t>
      </w:r>
      <w:r>
        <w:rPr>
          <w:rFonts w:ascii="LiHei Pro  Medium" w:eastAsia="LiHei Pro  Medium" w:hAnsi="LiHei Pro  Medium"/>
          <w:color w:val="222222"/>
          <w:spacing w:val="15"/>
          <w:sz w:val="30"/>
          <w:szCs w:val="30"/>
        </w:rPr>
        <w:fldChar w:fldCharType="end"/>
      </w:r>
      <w:r>
        <w:rPr>
          <w:rFonts w:ascii="LiHei Pro  Medium" w:eastAsia="LiHei Pro  Medium" w:hAnsi="LiHei Pro  Medium" w:hint="eastAsia"/>
          <w:color w:val="222222"/>
          <w:spacing w:val="15"/>
          <w:sz w:val="30"/>
          <w:szCs w:val="30"/>
        </w:rPr>
        <w:t>）</w:t>
      </w:r>
    </w:p>
    <w:p w14:paraId="15FF5B71" w14:textId="77777777" w:rsidR="004648C2" w:rsidRDefault="004648C2" w:rsidP="004648C2">
      <w:pPr>
        <w:pStyle w:val="2"/>
        <w:jc w:val="both"/>
        <w:rPr>
          <w:rFonts w:ascii="LiHei Pro  Medium" w:eastAsia="LiHei Pro  Medium" w:hAnsi="LiHei Pro  Medium" w:hint="eastAsia"/>
          <w:color w:val="222222"/>
          <w:spacing w:val="15"/>
          <w:sz w:val="45"/>
          <w:szCs w:val="45"/>
        </w:rPr>
      </w:pPr>
      <w:r>
        <w:rPr>
          <w:rFonts w:ascii="LiHei Pro  Medium" w:eastAsia="LiHei Pro  Medium" w:hAnsi="LiHei Pro  Medium" w:hint="eastAsia"/>
          <w:color w:val="222222"/>
          <w:spacing w:val="15"/>
          <w:sz w:val="45"/>
          <w:szCs w:val="45"/>
        </w:rPr>
        <w:t>米其林主廚愛上馬告</w:t>
      </w:r>
    </w:p>
    <w:p w14:paraId="7E9B15EA" w14:textId="0EC33582" w:rsidR="004648C2" w:rsidRPr="004648C2" w:rsidRDefault="004648C2" w:rsidP="004648C2">
      <w:pPr>
        <w:pStyle w:val="Web"/>
        <w:jc w:val="both"/>
        <w:rPr>
          <w:rFonts w:ascii="LiHei Pro  Medium" w:eastAsia="LiHei Pro  Medium" w:hAnsi="LiHei Pro  Medium" w:hint="eastAsia"/>
          <w:color w:val="222222"/>
          <w:spacing w:val="15"/>
          <w:sz w:val="30"/>
          <w:szCs w:val="30"/>
        </w:rPr>
      </w:pPr>
      <w:r>
        <w:rPr>
          <w:rFonts w:ascii="LiHei Pro  Medium" w:eastAsia="LiHei Pro  Medium" w:hAnsi="LiHei Pro  Medium" w:hint="eastAsia"/>
          <w:color w:val="222222"/>
          <w:spacing w:val="15"/>
          <w:sz w:val="30"/>
          <w:szCs w:val="30"/>
        </w:rPr>
        <w:t>馬告不僅是原住民的冰箱常備品，近年更是許多主廚愛用的香料。屏東私廚</w:t>
      </w:r>
      <w:proofErr w:type="spellStart"/>
      <w:r>
        <w:rPr>
          <w:rFonts w:ascii="LiHei Pro  Medium" w:eastAsia="LiHei Pro  Medium" w:hAnsi="LiHei Pro  Medium" w:hint="eastAsia"/>
          <w:color w:val="222222"/>
          <w:spacing w:val="15"/>
          <w:sz w:val="30"/>
          <w:szCs w:val="30"/>
        </w:rPr>
        <w:t>Akame</w:t>
      </w:r>
      <w:proofErr w:type="spellEnd"/>
      <w:r>
        <w:rPr>
          <w:rFonts w:ascii="LiHei Pro  Medium" w:eastAsia="LiHei Pro  Medium" w:hAnsi="LiHei Pro  Medium" w:hint="eastAsia"/>
          <w:color w:val="222222"/>
          <w:spacing w:val="15"/>
          <w:sz w:val="30"/>
          <w:szCs w:val="30"/>
        </w:rPr>
        <w:t>的主廚彭天恩接受《米其林指南台灣》的訪問時曾說：「馬告本身就是一個擁有複雜香味的綜合香料，幾乎任何食物都可以搭配，都可以實驗看看。」澳洲雪梨Bar Brose餐廳主廚葛瑞格里（</w:t>
      </w:r>
      <w:proofErr w:type="spellStart"/>
      <w:r>
        <w:rPr>
          <w:rFonts w:ascii="LiHei Pro  Medium" w:eastAsia="LiHei Pro  Medium" w:hAnsi="LiHei Pro  Medium" w:hint="eastAsia"/>
          <w:color w:val="222222"/>
          <w:spacing w:val="15"/>
          <w:sz w:val="30"/>
          <w:szCs w:val="30"/>
        </w:rPr>
        <w:t>Analiese</w:t>
      </w:r>
      <w:proofErr w:type="spellEnd"/>
      <w:r>
        <w:rPr>
          <w:rFonts w:ascii="LiHei Pro  Medium" w:eastAsia="LiHei Pro  Medium" w:hAnsi="LiHei Pro  Medium" w:hint="eastAsia"/>
          <w:color w:val="222222"/>
          <w:spacing w:val="15"/>
          <w:sz w:val="30"/>
          <w:szCs w:val="30"/>
        </w:rPr>
        <w:t xml:space="preserve"> Gregory）亦曾在MUME餐廳舉辦的無菜單料理餐會中，以馬告為甜</w:t>
      </w:r>
      <w:r>
        <w:rPr>
          <w:rFonts w:ascii="LiHei Pro  Medium" w:eastAsia="LiHei Pro  Medium" w:hAnsi="LiHei Pro  Medium" w:hint="eastAsia"/>
          <w:color w:val="222222"/>
          <w:spacing w:val="15"/>
          <w:sz w:val="30"/>
          <w:szCs w:val="30"/>
        </w:rPr>
        <w:lastRenderedPageBreak/>
        <w:t>點增添風味。米其林三星主廚山本征治在台灣開設的分店祥雲龍吟，馬告更是經常入菜的食材。</w:t>
      </w:r>
    </w:p>
    <w:p w14:paraId="18BD0679" w14:textId="26AE0FA6" w:rsidR="004648C2" w:rsidRPr="004648C2" w:rsidRDefault="004648C2" w:rsidP="004648C2">
      <w:pPr>
        <w:widowControl/>
        <w:rPr>
          <w:rFonts w:ascii="新細明體" w:eastAsia="新細明體" w:hAnsi="新細明體" w:cs="新細明體"/>
          <w:kern w:val="0"/>
        </w:rPr>
      </w:pPr>
      <w:r w:rsidRPr="004648C2">
        <w:rPr>
          <w:rFonts w:ascii="LiHei Pro  Medium" w:eastAsia="LiHei Pro  Medium" w:hAnsi="LiHei Pro  Medium" w:cs="新細明體" w:hint="eastAsia"/>
          <w:color w:val="222222"/>
          <w:spacing w:val="15"/>
          <w:kern w:val="0"/>
          <w:sz w:val="30"/>
          <w:szCs w:val="30"/>
        </w:rPr>
        <w:t>陳耀訓在拿下Mondial du pain世界麵包大賽冠軍時，國外廚師品嚐了他做的馬告鳳梨雞肉捲，驚為天人，譽為「性感的味道」。陳耀訓說：「馬告最獨特的地方在於它的風味有漸層感，一入口是薑味，後段帶有檸檬、香茅尾韻留在嘴裡，其他國家的辛香料較沒有特殊的漸層感。」後來他更與原風禮坊合作，推出馬告鳳梨酥，希望更多人品嚐到馬告的美味。</w:t>
      </w:r>
    </w:p>
    <w:p w14:paraId="3061DB00" w14:textId="77777777" w:rsidR="004648C2" w:rsidRPr="004648C2" w:rsidRDefault="004648C2" w:rsidP="004648C2">
      <w:pPr>
        <w:widowControl/>
        <w:pBdr>
          <w:top w:val="single" w:sz="6" w:space="1" w:color="auto"/>
        </w:pBdr>
        <w:jc w:val="center"/>
        <w:rPr>
          <w:rFonts w:ascii="Arial" w:eastAsia="新細明體" w:hAnsi="Arial" w:cs="Arial" w:hint="eastAsia"/>
          <w:vanish/>
          <w:kern w:val="0"/>
          <w:sz w:val="16"/>
          <w:szCs w:val="16"/>
        </w:rPr>
      </w:pPr>
      <w:r w:rsidRPr="004648C2">
        <w:rPr>
          <w:rFonts w:ascii="Arial" w:eastAsia="新細明體" w:hAnsi="Arial" w:cs="Arial" w:hint="eastAsia"/>
          <w:vanish/>
          <w:kern w:val="0"/>
          <w:sz w:val="16"/>
          <w:szCs w:val="16"/>
        </w:rPr>
        <w:t>表單的底部</w:t>
      </w:r>
    </w:p>
    <w:p w14:paraId="2E06D525" w14:textId="1716BB9C" w:rsidR="00BD2CC7" w:rsidRDefault="004648C2">
      <w:pPr>
        <w:rPr>
          <w:rFonts w:hint="eastAsia"/>
        </w:rPr>
      </w:pPr>
    </w:p>
    <w:sectPr w:rsidR="00BD2CC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Hei Pro  Medium">
    <w:panose1 w:val="020B0500000000000000"/>
    <w:charset w:val="88"/>
    <w:family w:val="swiss"/>
    <w:pitch w:val="variable"/>
    <w:sig w:usb0="80000001" w:usb1="280918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E033A"/>
    <w:multiLevelType w:val="multilevel"/>
    <w:tmpl w:val="F7D6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2"/>
    <w:rsid w:val="004648C2"/>
    <w:rsid w:val="00574F6B"/>
    <w:rsid w:val="006A0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3D8BB8C"/>
  <w15:chartTrackingRefBased/>
  <w15:docId w15:val="{3BF10189-06C6-7743-B848-234AE27D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4648C2"/>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4648C2"/>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4648C2"/>
    <w:rPr>
      <w:rFonts w:ascii="Arial" w:eastAsia="新細明體" w:hAnsi="Arial" w:cs="Arial"/>
      <w:vanish/>
      <w:kern w:val="0"/>
      <w:sz w:val="16"/>
      <w:szCs w:val="16"/>
    </w:rPr>
  </w:style>
  <w:style w:type="paragraph" w:customStyle="1" w:styleId="selected">
    <w:name w:val="selected"/>
    <w:basedOn w:val="a"/>
    <w:rsid w:val="004648C2"/>
    <w:pPr>
      <w:widowControl/>
      <w:spacing w:before="100" w:beforeAutospacing="1" w:after="100" w:afterAutospacing="1"/>
    </w:pPr>
    <w:rPr>
      <w:rFonts w:ascii="新細明體" w:eastAsia="新細明體" w:hAnsi="新細明體" w:cs="新細明體"/>
      <w:kern w:val="0"/>
    </w:rPr>
  </w:style>
  <w:style w:type="character" w:styleId="a3">
    <w:name w:val="Emphasis"/>
    <w:basedOn w:val="a0"/>
    <w:uiPriority w:val="20"/>
    <w:qFormat/>
    <w:rsid w:val="004648C2"/>
    <w:rPr>
      <w:i/>
      <w:iCs/>
    </w:rPr>
  </w:style>
  <w:style w:type="paragraph" w:styleId="z-1">
    <w:name w:val="HTML Bottom of Form"/>
    <w:basedOn w:val="a"/>
    <w:next w:val="a"/>
    <w:link w:val="z-2"/>
    <w:hidden/>
    <w:uiPriority w:val="99"/>
    <w:semiHidden/>
    <w:unhideWhenUsed/>
    <w:rsid w:val="004648C2"/>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4648C2"/>
    <w:rPr>
      <w:rFonts w:ascii="Arial" w:eastAsia="新細明體" w:hAnsi="Arial" w:cs="Arial"/>
      <w:vanish/>
      <w:kern w:val="0"/>
      <w:sz w:val="16"/>
      <w:szCs w:val="16"/>
    </w:rPr>
  </w:style>
  <w:style w:type="character" w:customStyle="1" w:styleId="20">
    <w:name w:val="標題 2 字元"/>
    <w:basedOn w:val="a0"/>
    <w:link w:val="2"/>
    <w:uiPriority w:val="9"/>
    <w:rsid w:val="004648C2"/>
    <w:rPr>
      <w:rFonts w:ascii="新細明體" w:eastAsia="新細明體" w:hAnsi="新細明體" w:cs="新細明體"/>
      <w:b/>
      <w:bCs/>
      <w:kern w:val="0"/>
      <w:sz w:val="36"/>
      <w:szCs w:val="36"/>
    </w:rPr>
  </w:style>
  <w:style w:type="paragraph" w:styleId="Web">
    <w:name w:val="Normal (Web)"/>
    <w:basedOn w:val="a"/>
    <w:uiPriority w:val="99"/>
    <w:unhideWhenUsed/>
    <w:rsid w:val="004648C2"/>
    <w:pPr>
      <w:widowControl/>
      <w:spacing w:before="100" w:beforeAutospacing="1" w:after="100" w:afterAutospacing="1"/>
    </w:pPr>
    <w:rPr>
      <w:rFonts w:ascii="新細明體" w:eastAsia="新細明體" w:hAnsi="新細明體" w:cs="新細明體"/>
      <w:kern w:val="0"/>
    </w:rPr>
  </w:style>
  <w:style w:type="character" w:styleId="a4">
    <w:name w:val="Hyperlink"/>
    <w:basedOn w:val="a0"/>
    <w:uiPriority w:val="99"/>
    <w:semiHidden/>
    <w:unhideWhenUsed/>
    <w:rsid w:val="00464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12818">
      <w:bodyDiv w:val="1"/>
      <w:marLeft w:val="0"/>
      <w:marRight w:val="0"/>
      <w:marTop w:val="0"/>
      <w:marBottom w:val="0"/>
      <w:divBdr>
        <w:top w:val="none" w:sz="0" w:space="0" w:color="auto"/>
        <w:left w:val="none" w:sz="0" w:space="0" w:color="auto"/>
        <w:bottom w:val="none" w:sz="0" w:space="0" w:color="auto"/>
        <w:right w:val="none" w:sz="0" w:space="0" w:color="auto"/>
      </w:divBdr>
    </w:div>
    <w:div w:id="663582399">
      <w:bodyDiv w:val="1"/>
      <w:marLeft w:val="0"/>
      <w:marRight w:val="0"/>
      <w:marTop w:val="0"/>
      <w:marBottom w:val="0"/>
      <w:divBdr>
        <w:top w:val="none" w:sz="0" w:space="0" w:color="auto"/>
        <w:left w:val="none" w:sz="0" w:space="0" w:color="auto"/>
        <w:bottom w:val="none" w:sz="0" w:space="0" w:color="auto"/>
        <w:right w:val="none" w:sz="0" w:space="0" w:color="auto"/>
      </w:divBdr>
    </w:div>
    <w:div w:id="1887175364">
      <w:bodyDiv w:val="1"/>
      <w:marLeft w:val="0"/>
      <w:marRight w:val="0"/>
      <w:marTop w:val="0"/>
      <w:marBottom w:val="0"/>
      <w:divBdr>
        <w:top w:val="none" w:sz="0" w:space="0" w:color="auto"/>
        <w:left w:val="none" w:sz="0" w:space="0" w:color="auto"/>
        <w:bottom w:val="none" w:sz="0" w:space="0" w:color="auto"/>
        <w:right w:val="none" w:sz="0" w:space="0" w:color="auto"/>
      </w:divBdr>
    </w:div>
    <w:div w:id="1977762728">
      <w:bodyDiv w:val="1"/>
      <w:marLeft w:val="0"/>
      <w:marRight w:val="0"/>
      <w:marTop w:val="0"/>
      <w:marBottom w:val="0"/>
      <w:divBdr>
        <w:top w:val="none" w:sz="0" w:space="0" w:color="auto"/>
        <w:left w:val="none" w:sz="0" w:space="0" w:color="auto"/>
        <w:bottom w:val="none" w:sz="0" w:space="0" w:color="auto"/>
        <w:right w:val="none" w:sz="0" w:space="0" w:color="auto"/>
      </w:divBdr>
      <w:divsChild>
        <w:div w:id="1523588240">
          <w:marLeft w:val="0"/>
          <w:marRight w:val="0"/>
          <w:marTop w:val="0"/>
          <w:marBottom w:val="0"/>
          <w:divBdr>
            <w:top w:val="none" w:sz="0" w:space="0" w:color="auto"/>
            <w:left w:val="none" w:sz="0" w:space="0" w:color="auto"/>
            <w:bottom w:val="none" w:sz="0" w:space="0" w:color="auto"/>
            <w:right w:val="none" w:sz="0" w:space="0" w:color="auto"/>
          </w:divBdr>
          <w:divsChild>
            <w:div w:id="1019311426">
              <w:marLeft w:val="0"/>
              <w:marRight w:val="0"/>
              <w:marTop w:val="0"/>
              <w:marBottom w:val="0"/>
              <w:divBdr>
                <w:top w:val="none" w:sz="0" w:space="0" w:color="auto"/>
                <w:left w:val="none" w:sz="0" w:space="0" w:color="auto"/>
                <w:bottom w:val="none" w:sz="0" w:space="0" w:color="auto"/>
                <w:right w:val="none" w:sz="0" w:space="0" w:color="auto"/>
              </w:divBdr>
              <w:divsChild>
                <w:div w:id="630281097">
                  <w:marLeft w:val="0"/>
                  <w:marRight w:val="0"/>
                  <w:marTop w:val="0"/>
                  <w:marBottom w:val="0"/>
                  <w:divBdr>
                    <w:top w:val="none" w:sz="0" w:space="0" w:color="auto"/>
                    <w:left w:val="none" w:sz="0" w:space="0" w:color="auto"/>
                    <w:bottom w:val="none" w:sz="0" w:space="0" w:color="auto"/>
                    <w:right w:val="none" w:sz="0" w:space="0" w:color="auto"/>
                  </w:divBdr>
                  <w:divsChild>
                    <w:div w:id="830758653">
                      <w:marLeft w:val="0"/>
                      <w:marRight w:val="0"/>
                      <w:marTop w:val="0"/>
                      <w:marBottom w:val="0"/>
                      <w:divBdr>
                        <w:top w:val="single" w:sz="6" w:space="1" w:color="DBD3C6"/>
                        <w:left w:val="single" w:sz="6" w:space="1" w:color="DBD3C6"/>
                        <w:bottom w:val="single" w:sz="6" w:space="1" w:color="DBD3C6"/>
                        <w:right w:val="single" w:sz="6" w:space="1" w:color="DBD3C6"/>
                      </w:divBdr>
                      <w:divsChild>
                        <w:div w:id="16443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老師 任</dc:creator>
  <cp:keywords/>
  <dc:description/>
  <cp:lastModifiedBy>老師 任</cp:lastModifiedBy>
  <cp:revision>1</cp:revision>
  <dcterms:created xsi:type="dcterms:W3CDTF">2021-10-09T01:26:00Z</dcterms:created>
  <dcterms:modified xsi:type="dcterms:W3CDTF">2021-10-09T01:33:00Z</dcterms:modified>
</cp:coreProperties>
</file>