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85"/>
        <w:gridCol w:w="1500"/>
        <w:gridCol w:w="1500"/>
        <w:gridCol w:w="1500"/>
        <w:gridCol w:w="1470"/>
        <w:gridCol w:w="1515"/>
        <w:tblGridChange w:id="0">
          <w:tblGrid>
            <w:gridCol w:w="1485"/>
            <w:gridCol w:w="1500"/>
            <w:gridCol w:w="1500"/>
            <w:gridCol w:w="1500"/>
            <w:gridCol w:w="1470"/>
            <w:gridCol w:w="1515"/>
          </w:tblGrid>
        </w:tblGridChange>
      </w:tblGrid>
      <w:tr>
        <w:trPr>
          <w:cantSplit w:val="0"/>
          <w:trHeight w:val="634.467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 分株法</w:t>
            </w:r>
          </w:p>
        </w:tc>
        <w:tc>
          <w:tcPr>
            <w:tcBorders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水苔繁殖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color w:val="212529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highlight w:val="white"/>
                <w:rtl w:val="0"/>
              </w:rPr>
              <w:t xml:space="preserve">高芽繁殖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組織培養</w:t>
            </w:r>
          </w:p>
        </w:tc>
        <w:tc>
          <w:tcPr>
            <w:tcBorders>
              <w:lef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color w:val="212529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highlight w:val="white"/>
                <w:rtl w:val="0"/>
              </w:rPr>
              <w:t xml:space="preserve">種子繁殖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   優點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highlight w:val="white"/>
                <w:rtl w:val="0"/>
              </w:rPr>
              <w:t xml:space="preserve">成活率高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12529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石斛需要水和透氣，所以剛剛好</w:t>
            </w:r>
          </w:p>
        </w:tc>
        <w:tc>
          <w:tcPr>
            <w:tcBorders>
              <w:top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0"/>
                <w:szCs w:val="20"/>
                <w:highlight w:val="white"/>
                <w:rtl w:val="0"/>
              </w:rPr>
              <w:t xml:space="preserve"> 只要其帶有氣 根，一般都是可以種活的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1"/>
                <w:szCs w:val="21"/>
                <w:highlight w:val="white"/>
                <w:rtl w:val="0"/>
              </w:rPr>
              <w:t xml:space="preserve"> 幼株能保持母株的優良性狀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可以看到每     一個階段的成長過程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    缺點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一次母株分株的個體有限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用純水苔種不好控制濕度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濕度要很高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需要有無菌操作的相關設備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85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highlight w:val="white"/>
                <w:rtl w:val="0"/>
              </w:rPr>
              <w:t xml:space="preserve">發芽率低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什麼時候種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比較容易成功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新芽長至 10~15公分長時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其根系達7~10 公分長以後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  <w:cols w:equalWidth="0" w:num="1">
        <w:col w:space="0" w:w="9025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