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0000ff"/>
          <w:sz w:val="60"/>
          <w:szCs w:val="60"/>
        </w:rPr>
      </w:pPr>
      <w:r w:rsidDel="00000000" w:rsidR="00000000" w:rsidRPr="00000000">
        <w:rPr>
          <w:rFonts w:ascii="Arial Unicode MS" w:cs="Arial Unicode MS" w:eastAsia="Arial Unicode MS" w:hAnsi="Arial Unicode MS"/>
          <w:sz w:val="46"/>
          <w:szCs w:val="46"/>
          <w:rtl w:val="0"/>
        </w:rPr>
        <w:t xml:space="preserve">鄭馨渝 NIi ua </w:t>
      </w:r>
      <w:r w:rsidDel="00000000" w:rsidR="00000000" w:rsidRPr="00000000">
        <w:rPr>
          <w:rFonts w:ascii="Arial Unicode MS" w:cs="Arial Unicode MS" w:eastAsia="Arial Unicode MS" w:hAnsi="Arial Unicode MS"/>
          <w:color w:val="4a86e8"/>
          <w:sz w:val="46"/>
          <w:szCs w:val="46"/>
          <w:rtl w:val="0"/>
        </w:rPr>
        <w:t xml:space="preserve">訪</w:t>
      </w:r>
      <w:r w:rsidDel="00000000" w:rsidR="00000000" w:rsidRPr="00000000">
        <w:rPr>
          <w:rFonts w:ascii="Arial Unicode MS" w:cs="Arial Unicode MS" w:eastAsia="Arial Unicode MS" w:hAnsi="Arial Unicode MS"/>
          <w:color w:val="0000ff"/>
          <w:sz w:val="60"/>
          <w:szCs w:val="60"/>
          <w:rtl w:val="0"/>
        </w:rPr>
        <w:t xml:space="preserve">談</w:t>
      </w:r>
    </w:p>
    <w:p w:rsidR="00000000" w:rsidDel="00000000" w:rsidP="00000000" w:rsidRDefault="00000000" w:rsidRPr="00000000" w14:paraId="00000002">
      <w:pPr>
        <w:rPr>
          <w:color w:val="0000ff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1440"/>
        <w:rPr>
          <w:sz w:val="50"/>
          <w:szCs w:val="50"/>
        </w:rPr>
      </w:pPr>
      <w:r w:rsidDel="00000000" w:rsidR="00000000" w:rsidRPr="00000000">
        <w:rPr>
          <w:sz w:val="50"/>
          <w:szCs w:val="50"/>
        </w:rPr>
        <w:drawing>
          <wp:inline distB="114300" distT="114300" distL="114300" distR="114300">
            <wp:extent cx="5624513" cy="363855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363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440"/>
        <w:rPr>
          <w:sz w:val="60"/>
          <w:szCs w:val="60"/>
        </w:rPr>
      </w:pPr>
      <w:r w:rsidDel="00000000" w:rsidR="00000000" w:rsidRPr="00000000">
        <w:rPr>
          <w:rFonts w:ascii="Arial Unicode MS" w:cs="Arial Unicode MS" w:eastAsia="Arial Unicode MS" w:hAnsi="Arial Unicode MS"/>
          <w:sz w:val="60"/>
          <w:szCs w:val="60"/>
          <w:rtl w:val="0"/>
        </w:rPr>
        <w:t xml:space="preserve">在布農族口簧琴中胡金娘老師告訴我:「要是沒有人做口簧琴，恐怕布農族的口簧琴就要在這一代失傳了。很少會聽見布農族有在做口簧琴，就是因為做口簧琴的爺爺和奶奶越來越少，造成可能失傳。</w:t>
      </w:r>
    </w:p>
    <w:p w:rsidR="00000000" w:rsidDel="00000000" w:rsidP="00000000" w:rsidRDefault="00000000" w:rsidRPr="00000000" w14:paraId="00000005">
      <w:pPr>
        <w:ind w:right="-144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144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-144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144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-1440"/>
        <w:rPr>
          <w:sz w:val="60"/>
          <w:szCs w:val="60"/>
        </w:rPr>
      </w:pPr>
      <w:r w:rsidDel="00000000" w:rsidR="00000000" w:rsidRPr="00000000">
        <w:rPr>
          <w:rFonts w:ascii="Arial Unicode MS" w:cs="Arial Unicode MS" w:eastAsia="Arial Unicode MS" w:hAnsi="Arial Unicode MS"/>
          <w:sz w:val="60"/>
          <w:szCs w:val="60"/>
          <w:rtl w:val="0"/>
        </w:rPr>
        <w:t xml:space="preserve">要用這種切好的竹片</w:t>
      </w:r>
    </w:p>
    <w:p w:rsidR="00000000" w:rsidDel="00000000" w:rsidP="00000000" w:rsidRDefault="00000000" w:rsidRPr="00000000" w14:paraId="0000000A">
      <w:pPr>
        <w:ind w:right="-144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20" w:before="220" w:line="360" w:lineRule="auto"/>
        <w:jc w:val="both"/>
        <w:rPr>
          <w:sz w:val="48"/>
          <w:szCs w:val="48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rtl w:val="0"/>
        </w:rPr>
        <w:t xml:space="preserve">布</w:t>
      </w:r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rtl w:val="0"/>
        </w:rPr>
        <w:t xml:space="preserve">農族的口簧琴亦如其他原住民一樣為繩口琴，其形制以單簧，二簧為主。其中以單簧最為普遍，但不像泰雅族的口簧除單簧、二簧外，還有四簧、五簧般的複雜。</w:t>
        <w:br w:type="textWrapping"/>
        <w:t xml:space="preserve">　　布農族的口簧琴，其材料由琴身、琴簧及繩子三部分所組成。一般琴身多以箭竹為材料，中央鑿有長孔，內裝有彈性的竹簧或金屬簧，亦即竹台竹簧、竹台金屬簧為主；繩子則固定於琴身兩端，通常左端比右端要長，有時左端繩尾會加上裝飾作用的流蘇。比較精緻的竹口琴，還配製有保護性的琴套。例如本館收藏的竹口琴，即為一端有節，一端削成漏斗狀的竹節琴套，將竹口琴套在琴套上加以保護亦具美觀的作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20" w:before="220" w:line="360" w:lineRule="auto"/>
        <w:jc w:val="both"/>
        <w:rPr>
          <w:sz w:val="48"/>
          <w:szCs w:val="4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20" w:before="220" w:line="360" w:lineRule="auto"/>
        <w:jc w:val="both"/>
        <w:rPr>
          <w:sz w:val="48"/>
          <w:szCs w:val="48"/>
          <w:highlight w:val="white"/>
        </w:rPr>
      </w:pPr>
      <w:r w:rsidDel="00000000" w:rsidR="00000000" w:rsidRPr="00000000">
        <w:rPr>
          <w:sz w:val="48"/>
          <w:szCs w:val="48"/>
          <w:highlight w:val="white"/>
        </w:rPr>
        <w:drawing>
          <wp:inline distB="114300" distT="114300" distL="114300" distR="114300">
            <wp:extent cx="5731200" cy="7645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220" w:before="220" w:line="360" w:lineRule="auto"/>
        <w:jc w:val="both"/>
        <w:rPr>
          <w:sz w:val="48"/>
          <w:szCs w:val="48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highlight w:val="white"/>
          <w:rtl w:val="0"/>
        </w:rPr>
        <w:t xml:space="preserve">做好的樣子</w:t>
      </w:r>
    </w:p>
    <w:p w:rsidR="00000000" w:rsidDel="00000000" w:rsidP="00000000" w:rsidRDefault="00000000" w:rsidRPr="00000000" w14:paraId="0000000F">
      <w:pPr>
        <w:shd w:fill="ffffff" w:val="clear"/>
        <w:spacing w:after="220" w:before="220" w:line="360" w:lineRule="auto"/>
        <w:jc w:val="both"/>
        <w:rPr>
          <w:sz w:val="48"/>
          <w:szCs w:val="48"/>
          <w:highlight w:val="white"/>
        </w:rPr>
      </w:pPr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highlight w:val="white"/>
          <w:rtl w:val="0"/>
        </w:rPr>
        <w:t xml:space="preserve">吹奏方式:</w:t>
      </w:r>
    </w:p>
    <w:p w:rsidR="00000000" w:rsidDel="00000000" w:rsidP="00000000" w:rsidRDefault="00000000" w:rsidRPr="00000000" w14:paraId="00000010">
      <w:pPr>
        <w:shd w:fill="ffffff" w:val="clear"/>
        <w:spacing w:after="220" w:before="220" w:line="360" w:lineRule="auto"/>
        <w:jc w:val="both"/>
        <w:rPr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highlight w:val="white"/>
          <w:rtl w:val="0"/>
        </w:rPr>
        <w:t xml:space="preserve">吹</w:t>
      </w:r>
      <w:r w:rsidDel="00000000" w:rsidR="00000000" w:rsidRPr="00000000">
        <w:rPr>
          <w:rFonts w:ascii="Arial Unicode MS" w:cs="Arial Unicode MS" w:eastAsia="Arial Unicode MS" w:hAnsi="Arial Unicode MS"/>
          <w:sz w:val="48"/>
          <w:szCs w:val="48"/>
          <w:highlight w:val="white"/>
          <w:rtl w:val="0"/>
        </w:rPr>
        <w:t xml:space="preserve">奏口簧琴時，以左手用拇指和食指繫住口簧接頭相反之一端（也有人將繩子捲在左手指），並使琴凸面向口，且以口湊於琴簧尖端，再用右手拉相反的一方繩子以振動琴簧，使其發出嚶嗡之聲。同時配合口腔輕而有規律的呼氣、吸氣，以呵動空氣，遂可得抑揚頓挫輕盈悅耳之音調；音的強弱可由右手的牽扯繩子加以控制。</w:t>
      </w: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5.45454545454547" w:lineRule="auto"/>
              <w:ind w:right="-1440"/>
              <w:rPr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ind w:right="-1440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1440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-1440"/>
        <w:rPr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-1440"/>
        <w:rPr>
          <w:sz w:val="42"/>
          <w:szCs w:val="42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4.3700787401576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