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rFonts w:ascii="Arial Unicode MS" w:cs="Arial Unicode MS" w:eastAsia="Arial Unicode MS" w:hAnsi="Arial Unicode MS"/>
          <w:b w:val="1"/>
          <w:sz w:val="32"/>
          <w:szCs w:val="32"/>
          <w:rtl w:val="0"/>
        </w:rPr>
        <w:t xml:space="preserve">以上是全國法規資料庫對行人交通安全條例的14條法規</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spacing w:line="445.0909254545454" w:lineRule="auto"/>
        <w:ind w:left="-220" w:firstLine="0"/>
        <w:jc w:val="left"/>
        <w:rPr>
          <w:b w:val="1"/>
          <w:color w:val="993399"/>
          <w:sz w:val="32"/>
          <w:szCs w:val="32"/>
        </w:rPr>
      </w:pPr>
      <w:hyperlink r:id="rId6">
        <w:r w:rsidDel="00000000" w:rsidR="00000000" w:rsidRPr="00000000">
          <w:rPr>
            <w:b w:val="1"/>
            <w:color w:val="993399"/>
            <w:sz w:val="32"/>
            <w:szCs w:val="32"/>
            <w:rtl w:val="0"/>
          </w:rPr>
          <w:t xml:space="preserve">第 1 條</w:t>
        </w:r>
      </w:hyperlink>
      <w:r w:rsidDel="00000000" w:rsidR="00000000" w:rsidRPr="00000000">
        <w:rPr>
          <w:rtl w:val="0"/>
        </w:rPr>
      </w:r>
    </w:p>
    <w:p w:rsidR="00000000" w:rsidDel="00000000" w:rsidP="00000000" w:rsidRDefault="00000000" w:rsidRPr="00000000" w14:paraId="00000004">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為建設、改善、維護、管理及考核行人交通安全設施，建立以人為本、行人動線連續性及無障礙用路環境，特制定本條例。</w:t>
      </w:r>
    </w:p>
    <w:p w:rsidR="00000000" w:rsidDel="00000000" w:rsidP="00000000" w:rsidRDefault="00000000" w:rsidRPr="00000000" w14:paraId="00000005">
      <w:pPr>
        <w:spacing w:line="445.0909254545454" w:lineRule="auto"/>
        <w:ind w:left="-220" w:firstLine="0"/>
        <w:jc w:val="left"/>
        <w:rPr>
          <w:b w:val="1"/>
          <w:color w:val="993399"/>
          <w:sz w:val="32"/>
          <w:szCs w:val="32"/>
        </w:rPr>
      </w:pPr>
      <w:hyperlink r:id="rId7">
        <w:r w:rsidDel="00000000" w:rsidR="00000000" w:rsidRPr="00000000">
          <w:rPr>
            <w:b w:val="1"/>
            <w:color w:val="993399"/>
            <w:sz w:val="32"/>
            <w:szCs w:val="32"/>
            <w:rtl w:val="0"/>
          </w:rPr>
          <w:t xml:space="preserve">第 2 條</w:t>
        </w:r>
      </w:hyperlink>
      <w:r w:rsidDel="00000000" w:rsidR="00000000" w:rsidRPr="00000000">
        <w:rPr>
          <w:rtl w:val="0"/>
        </w:rPr>
      </w:r>
    </w:p>
    <w:p w:rsidR="00000000" w:rsidDel="00000000" w:rsidP="00000000" w:rsidRDefault="00000000" w:rsidRPr="00000000" w14:paraId="00000006">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本條例用詞，定義如下：</w:t>
      </w:r>
    </w:p>
    <w:p w:rsidR="00000000" w:rsidDel="00000000" w:rsidP="00000000" w:rsidRDefault="00000000" w:rsidRPr="00000000" w14:paraId="00000007">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一、行人交通安全設施：指人行道、行人穿越道、引導行人行進、防護行人安全、提醒行人注意及具無障礙功能之設施、設備。</w:t>
      </w:r>
    </w:p>
    <w:p w:rsidR="00000000" w:rsidDel="00000000" w:rsidP="00000000" w:rsidRDefault="00000000" w:rsidRPr="00000000" w14:paraId="00000008">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二、行人友善區：指經公告設置，提供行人動線連續之無障礙步行環境，並管制車輛使用行為之區域。</w:t>
      </w:r>
    </w:p>
    <w:p w:rsidR="00000000" w:rsidDel="00000000" w:rsidP="00000000" w:rsidRDefault="00000000" w:rsidRPr="00000000" w14:paraId="00000009">
      <w:pPr>
        <w:spacing w:line="445.0909254545454" w:lineRule="auto"/>
        <w:ind w:left="-220" w:firstLine="0"/>
        <w:jc w:val="left"/>
        <w:rPr>
          <w:b w:val="1"/>
          <w:color w:val="993399"/>
          <w:sz w:val="32"/>
          <w:szCs w:val="32"/>
        </w:rPr>
      </w:pPr>
      <w:hyperlink r:id="rId8">
        <w:r w:rsidDel="00000000" w:rsidR="00000000" w:rsidRPr="00000000">
          <w:rPr>
            <w:b w:val="1"/>
            <w:color w:val="993399"/>
            <w:sz w:val="32"/>
            <w:szCs w:val="32"/>
            <w:rtl w:val="0"/>
          </w:rPr>
          <w:t xml:space="preserve">第 3 條</w:t>
        </w:r>
      </w:hyperlink>
      <w:r w:rsidDel="00000000" w:rsidR="00000000" w:rsidRPr="00000000">
        <w:rPr>
          <w:rtl w:val="0"/>
        </w:rPr>
      </w:r>
    </w:p>
    <w:p w:rsidR="00000000" w:rsidDel="00000000" w:rsidP="00000000" w:rsidRDefault="00000000" w:rsidRPr="00000000" w14:paraId="0000000A">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本條例所稱主管機關：在中央為內政部；在直轄市為直轄市政府；在縣（市）為縣（市）政府。</w:t>
      </w:r>
    </w:p>
    <w:p w:rsidR="00000000" w:rsidDel="00000000" w:rsidP="00000000" w:rsidRDefault="00000000" w:rsidRPr="00000000" w14:paraId="0000000B">
      <w:pPr>
        <w:spacing w:line="445.0909254545454" w:lineRule="auto"/>
        <w:ind w:left="-220" w:firstLine="0"/>
        <w:jc w:val="left"/>
        <w:rPr>
          <w:b w:val="1"/>
          <w:color w:val="993399"/>
          <w:sz w:val="32"/>
          <w:szCs w:val="32"/>
        </w:rPr>
      </w:pPr>
      <w:hyperlink r:id="rId9">
        <w:r w:rsidDel="00000000" w:rsidR="00000000" w:rsidRPr="00000000">
          <w:rPr>
            <w:b w:val="1"/>
            <w:color w:val="993399"/>
            <w:sz w:val="32"/>
            <w:szCs w:val="32"/>
            <w:rtl w:val="0"/>
          </w:rPr>
          <w:t xml:space="preserve">第 4 條</w:t>
        </w:r>
      </w:hyperlink>
      <w:r w:rsidDel="00000000" w:rsidR="00000000" w:rsidRPr="00000000">
        <w:rPr>
          <w:rtl w:val="0"/>
        </w:rPr>
      </w:r>
    </w:p>
    <w:p w:rsidR="00000000" w:rsidDel="00000000" w:rsidP="00000000" w:rsidRDefault="00000000" w:rsidRPr="00000000" w14:paraId="0000000C">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中央主管機關掌理下列事項：</w:t>
      </w:r>
    </w:p>
    <w:p w:rsidR="00000000" w:rsidDel="00000000" w:rsidP="00000000" w:rsidRDefault="00000000" w:rsidRPr="00000000" w14:paraId="0000000D">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一、訂定行人交通安全設施政策方向及中央行人交通安全設施推動計畫。</w:t>
      </w:r>
    </w:p>
    <w:p w:rsidR="00000000" w:rsidDel="00000000" w:rsidP="00000000" w:rsidRDefault="00000000" w:rsidRPr="00000000" w14:paraId="0000000E">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二、研擬行人交通安全設施之設計規範。</w:t>
      </w:r>
    </w:p>
    <w:p w:rsidR="00000000" w:rsidDel="00000000" w:rsidP="00000000" w:rsidRDefault="00000000" w:rsidRPr="00000000" w14:paraId="0000000F">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三、督導地方主管機關辦理行人步行環境安全及便利性改善調查。</w:t>
      </w:r>
    </w:p>
    <w:p w:rsidR="00000000" w:rsidDel="00000000" w:rsidP="00000000" w:rsidRDefault="00000000" w:rsidRPr="00000000" w14:paraId="00000010">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四、研議行人交通安全有關行動、行為、核心及風險等績效指標。</w:t>
      </w:r>
    </w:p>
    <w:p w:rsidR="00000000" w:rsidDel="00000000" w:rsidP="00000000" w:rsidRDefault="00000000" w:rsidRPr="00000000" w14:paraId="00000011">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五、協助辦理交通安全教育及相關交通安全宣導與訓練。</w:t>
      </w:r>
    </w:p>
    <w:p w:rsidR="00000000" w:rsidDel="00000000" w:rsidP="00000000" w:rsidRDefault="00000000" w:rsidRPr="00000000" w14:paraId="00000012">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前項推動計畫，中央主管機關應會同中央各目的事業主管機關訂定行人交通安全設施推動計畫，並至少每四年檢討修正一次。</w:t>
      </w:r>
    </w:p>
    <w:p w:rsidR="00000000" w:rsidDel="00000000" w:rsidP="00000000" w:rsidRDefault="00000000" w:rsidRPr="00000000" w14:paraId="00000013">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前項推動計畫應包含下列項目：</w:t>
      </w:r>
    </w:p>
    <w:p w:rsidR="00000000" w:rsidDel="00000000" w:rsidP="00000000" w:rsidRDefault="00000000" w:rsidRPr="00000000" w14:paraId="00000014">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一、願景目標。</w:t>
      </w:r>
    </w:p>
    <w:p w:rsidR="00000000" w:rsidDel="00000000" w:rsidP="00000000" w:rsidRDefault="00000000" w:rsidRPr="00000000" w14:paraId="00000015">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二、行人交通安全設施改善政策。</w:t>
      </w:r>
    </w:p>
    <w:p w:rsidR="00000000" w:rsidDel="00000000" w:rsidP="00000000" w:rsidRDefault="00000000" w:rsidRPr="00000000" w14:paraId="00000016">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三、行人交通安全設施必要改善項目。</w:t>
      </w:r>
    </w:p>
    <w:p w:rsidR="00000000" w:rsidDel="00000000" w:rsidP="00000000" w:rsidRDefault="00000000" w:rsidRPr="00000000" w14:paraId="00000017">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四、計畫績效指標。</w:t>
      </w:r>
    </w:p>
    <w:p w:rsidR="00000000" w:rsidDel="00000000" w:rsidP="00000000" w:rsidRDefault="00000000" w:rsidRPr="00000000" w14:paraId="00000018">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五、計畫經費。</w:t>
      </w:r>
    </w:p>
    <w:p w:rsidR="00000000" w:rsidDel="00000000" w:rsidP="00000000" w:rsidRDefault="00000000" w:rsidRPr="00000000" w14:paraId="00000019">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六、計畫效益。</w:t>
      </w:r>
    </w:p>
    <w:p w:rsidR="00000000" w:rsidDel="00000000" w:rsidP="00000000" w:rsidRDefault="00000000" w:rsidRPr="00000000" w14:paraId="0000001A">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七、管考措施。</w:t>
      </w:r>
    </w:p>
    <w:p w:rsidR="00000000" w:rsidDel="00000000" w:rsidP="00000000" w:rsidRDefault="00000000" w:rsidRPr="00000000" w14:paraId="0000001B">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前項行人交通安全設施推動計畫之訂定與檢討應納入專家學者及民間團體之參與討論。</w:t>
      </w:r>
    </w:p>
    <w:p w:rsidR="00000000" w:rsidDel="00000000" w:rsidP="00000000" w:rsidRDefault="00000000" w:rsidRPr="00000000" w14:paraId="0000001C">
      <w:pPr>
        <w:spacing w:line="445.0909254545454" w:lineRule="auto"/>
        <w:ind w:left="-220" w:firstLine="0"/>
        <w:jc w:val="left"/>
        <w:rPr>
          <w:b w:val="1"/>
          <w:color w:val="993399"/>
          <w:sz w:val="32"/>
          <w:szCs w:val="32"/>
        </w:rPr>
      </w:pPr>
      <w:hyperlink r:id="rId10">
        <w:r w:rsidDel="00000000" w:rsidR="00000000" w:rsidRPr="00000000">
          <w:rPr>
            <w:b w:val="1"/>
            <w:color w:val="993399"/>
            <w:sz w:val="32"/>
            <w:szCs w:val="32"/>
            <w:rtl w:val="0"/>
          </w:rPr>
          <w:t xml:space="preserve">第 5 條</w:t>
        </w:r>
      </w:hyperlink>
      <w:r w:rsidDel="00000000" w:rsidR="00000000" w:rsidRPr="00000000">
        <w:rPr>
          <w:rtl w:val="0"/>
        </w:rPr>
      </w:r>
    </w:p>
    <w:p w:rsidR="00000000" w:rsidDel="00000000" w:rsidP="00000000" w:rsidRDefault="00000000" w:rsidRPr="00000000" w14:paraId="0000001D">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直轄市、縣（市）主管機關掌理下列事項：</w:t>
      </w:r>
    </w:p>
    <w:p w:rsidR="00000000" w:rsidDel="00000000" w:rsidP="00000000" w:rsidRDefault="00000000" w:rsidRPr="00000000" w14:paraId="0000001E">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一、辦理行人步行環境安全及便利性改善調查，並研擬改善對策。</w:t>
      </w:r>
    </w:p>
    <w:p w:rsidR="00000000" w:rsidDel="00000000" w:rsidP="00000000" w:rsidRDefault="00000000" w:rsidRPr="00000000" w14:paraId="0000001F">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二、擬訂道路一定寬度人行道分年分期建設計畫。</w:t>
      </w:r>
    </w:p>
    <w:p w:rsidR="00000000" w:rsidDel="00000000" w:rsidP="00000000" w:rsidRDefault="00000000" w:rsidRPr="00000000" w14:paraId="00000020">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三、訂定行人交通安全設施改善計畫。</w:t>
      </w:r>
    </w:p>
    <w:p w:rsidR="00000000" w:rsidDel="00000000" w:rsidP="00000000" w:rsidRDefault="00000000" w:rsidRPr="00000000" w14:paraId="00000021">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四、劃定行人友善區，執行行人空間檢核與改造措施或計畫。</w:t>
      </w:r>
    </w:p>
    <w:p w:rsidR="00000000" w:rsidDel="00000000" w:rsidP="00000000" w:rsidRDefault="00000000" w:rsidRPr="00000000" w14:paraId="00000022">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五、執行管理考核機制及加強人員訓練。</w:t>
      </w:r>
    </w:p>
    <w:p w:rsidR="00000000" w:rsidDel="00000000" w:rsidP="00000000" w:rsidRDefault="00000000" w:rsidRPr="00000000" w14:paraId="00000023">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應依前條行人交通安全設施推動計畫，訂定行人交通安全設施改善計畫，並每年公布執行情形。</w:t>
      </w:r>
    </w:p>
    <w:p w:rsidR="00000000" w:rsidDel="00000000" w:rsidP="00000000" w:rsidRDefault="00000000" w:rsidRPr="00000000" w14:paraId="00000024">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前項行人交通安全設施改善計畫應包含下列項目：</w:t>
      </w:r>
    </w:p>
    <w:p w:rsidR="00000000" w:rsidDel="00000000" w:rsidP="00000000" w:rsidRDefault="00000000" w:rsidRPr="00000000" w14:paraId="00000025">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一、人行道及行人穿越道之增設、拓寬或改善。</w:t>
      </w:r>
    </w:p>
    <w:p w:rsidR="00000000" w:rsidDel="00000000" w:rsidP="00000000" w:rsidRDefault="00000000" w:rsidRPr="00000000" w14:paraId="00000026">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二、人行道及行人穿越道障礙之排除。</w:t>
      </w:r>
    </w:p>
    <w:p w:rsidR="00000000" w:rsidDel="00000000" w:rsidP="00000000" w:rsidRDefault="00000000" w:rsidRPr="00000000" w14:paraId="00000027">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三、行人交通安全設施之改善。</w:t>
      </w:r>
    </w:p>
    <w:p w:rsidR="00000000" w:rsidDel="00000000" w:rsidP="00000000" w:rsidRDefault="00000000" w:rsidRPr="00000000" w14:paraId="00000028">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四、行人友善區之公告設置及實施。</w:t>
      </w:r>
    </w:p>
    <w:p w:rsidR="00000000" w:rsidDel="00000000" w:rsidP="00000000" w:rsidRDefault="00000000" w:rsidRPr="00000000" w14:paraId="00000029">
      <w:pPr>
        <w:spacing w:after="120" w:lineRule="auto"/>
        <w:ind w:left="660" w:right="-220" w:hanging="440"/>
        <w:rPr>
          <w:b w:val="1"/>
          <w:sz w:val="32"/>
          <w:szCs w:val="32"/>
        </w:rPr>
      </w:pPr>
      <w:r w:rsidDel="00000000" w:rsidR="00000000" w:rsidRPr="00000000">
        <w:rPr>
          <w:rFonts w:ascii="Arial Unicode MS" w:cs="Arial Unicode MS" w:eastAsia="Arial Unicode MS" w:hAnsi="Arial Unicode MS"/>
          <w:b w:val="1"/>
          <w:sz w:val="32"/>
          <w:szCs w:val="32"/>
          <w:rtl w:val="0"/>
        </w:rPr>
        <w:t xml:space="preserve">五、其他經中央主管機關指定之項目。</w:t>
      </w:r>
    </w:p>
    <w:p w:rsidR="00000000" w:rsidDel="00000000" w:rsidP="00000000" w:rsidRDefault="00000000" w:rsidRPr="00000000" w14:paraId="0000002A">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直轄市、縣（市）主管機關應對都市計畫區域內一定寬度以上道路未設人行道者，擬訂分年分期建設計畫，報請中央主管機關核定，優先實施改善，並至少每四年檢討修正一次。</w:t>
      </w:r>
    </w:p>
    <w:p w:rsidR="00000000" w:rsidDel="00000000" w:rsidP="00000000" w:rsidRDefault="00000000" w:rsidRPr="00000000" w14:paraId="0000002B">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前項行人交通安全設施改善計畫之訂定與檢討應納入專家學者及民間團體之參與討論。</w:t>
      </w:r>
    </w:p>
    <w:p w:rsidR="00000000" w:rsidDel="00000000" w:rsidP="00000000" w:rsidRDefault="00000000" w:rsidRPr="00000000" w14:paraId="0000002C">
      <w:pPr>
        <w:spacing w:line="445.0909254545454" w:lineRule="auto"/>
        <w:ind w:left="-220" w:firstLine="0"/>
        <w:jc w:val="left"/>
        <w:rPr>
          <w:b w:val="1"/>
          <w:color w:val="993399"/>
          <w:sz w:val="32"/>
          <w:szCs w:val="32"/>
        </w:rPr>
      </w:pPr>
      <w:hyperlink r:id="rId11">
        <w:r w:rsidDel="00000000" w:rsidR="00000000" w:rsidRPr="00000000">
          <w:rPr>
            <w:b w:val="1"/>
            <w:color w:val="993399"/>
            <w:sz w:val="32"/>
            <w:szCs w:val="32"/>
            <w:rtl w:val="0"/>
          </w:rPr>
          <w:t xml:space="preserve">第 6 條</w:t>
        </w:r>
      </w:hyperlink>
      <w:r w:rsidDel="00000000" w:rsidR="00000000" w:rsidRPr="00000000">
        <w:rPr>
          <w:rtl w:val="0"/>
        </w:rPr>
      </w:r>
    </w:p>
    <w:p w:rsidR="00000000" w:rsidDel="00000000" w:rsidP="00000000" w:rsidRDefault="00000000" w:rsidRPr="00000000" w14:paraId="0000002D">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直轄市、縣（市）主管機關執行行人交通安全設施改善計畫，應辦理步行環境調查，擬定優先順序辦理改善。</w:t>
      </w:r>
    </w:p>
    <w:p w:rsidR="00000000" w:rsidDel="00000000" w:rsidP="00000000" w:rsidRDefault="00000000" w:rsidRPr="00000000" w14:paraId="0000002E">
      <w:pPr>
        <w:spacing w:line="445.0909254545454" w:lineRule="auto"/>
        <w:ind w:left="-220" w:firstLine="0"/>
        <w:jc w:val="left"/>
        <w:rPr>
          <w:b w:val="1"/>
          <w:color w:val="993399"/>
          <w:sz w:val="32"/>
          <w:szCs w:val="32"/>
        </w:rPr>
      </w:pPr>
      <w:hyperlink r:id="rId12">
        <w:r w:rsidDel="00000000" w:rsidR="00000000" w:rsidRPr="00000000">
          <w:rPr>
            <w:b w:val="1"/>
            <w:color w:val="993399"/>
            <w:sz w:val="32"/>
            <w:szCs w:val="32"/>
            <w:rtl w:val="0"/>
          </w:rPr>
          <w:t xml:space="preserve">第 7 條</w:t>
        </w:r>
      </w:hyperlink>
      <w:r w:rsidDel="00000000" w:rsidR="00000000" w:rsidRPr="00000000">
        <w:rPr>
          <w:rtl w:val="0"/>
        </w:rPr>
      </w:r>
    </w:p>
    <w:p w:rsidR="00000000" w:rsidDel="00000000" w:rsidP="00000000" w:rsidRDefault="00000000" w:rsidRPr="00000000" w14:paraId="0000002F">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直轄市、縣（市）主管機關應就醫療院所、學校、機關、大眾運輸場站等行人密集場所周邊，公告指定範圍為行人友善區，報請中央主管機關備查後，逐年辦理改善。</w:t>
      </w:r>
    </w:p>
    <w:p w:rsidR="00000000" w:rsidDel="00000000" w:rsidP="00000000" w:rsidRDefault="00000000" w:rsidRPr="00000000" w14:paraId="00000030">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新市鎮開發、區段徵收、市地重劃整體開發新闢地區，應規劃施作行人友善區。</w:t>
      </w:r>
    </w:p>
    <w:p w:rsidR="00000000" w:rsidDel="00000000" w:rsidP="00000000" w:rsidRDefault="00000000" w:rsidRPr="00000000" w14:paraId="00000031">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直轄市、縣（市）主管機關公告行人友善區前，應舉辦說明會聽取當地居民意見。</w:t>
      </w:r>
    </w:p>
    <w:p w:rsidR="00000000" w:rsidDel="00000000" w:rsidP="00000000" w:rsidRDefault="00000000" w:rsidRPr="00000000" w14:paraId="00000032">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行人友善區應提供行人動線連續之無障礙步行環境，並管制車輛使用行為，區內道路除設置人行道外，得採取速限標誌或標線、降速措施、時段性行人徒步區、行人優先區，或其他方式提供步行環境。</w:t>
      </w:r>
    </w:p>
    <w:p w:rsidR="00000000" w:rsidDel="00000000" w:rsidP="00000000" w:rsidRDefault="00000000" w:rsidRPr="00000000" w14:paraId="00000033">
      <w:pPr>
        <w:spacing w:line="445.0909254545454" w:lineRule="auto"/>
        <w:ind w:left="-220" w:firstLine="0"/>
        <w:jc w:val="left"/>
        <w:rPr>
          <w:b w:val="1"/>
          <w:color w:val="993399"/>
          <w:sz w:val="32"/>
          <w:szCs w:val="32"/>
        </w:rPr>
      </w:pPr>
      <w:hyperlink r:id="rId13">
        <w:r w:rsidDel="00000000" w:rsidR="00000000" w:rsidRPr="00000000">
          <w:rPr>
            <w:b w:val="1"/>
            <w:color w:val="993399"/>
            <w:sz w:val="32"/>
            <w:szCs w:val="32"/>
            <w:rtl w:val="0"/>
          </w:rPr>
          <w:t xml:space="preserve">第 8 條</w:t>
        </w:r>
      </w:hyperlink>
      <w:r w:rsidDel="00000000" w:rsidR="00000000" w:rsidRPr="00000000">
        <w:rPr>
          <w:rtl w:val="0"/>
        </w:rPr>
      </w:r>
    </w:p>
    <w:p w:rsidR="00000000" w:rsidDel="00000000" w:rsidP="00000000" w:rsidRDefault="00000000" w:rsidRPr="00000000" w14:paraId="00000034">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直轄市、縣（市）主管機關查有妨礙行人通行之固定設施、設備，應以書面通知該管管理機關（構）、所有權人、使用人或管理人於規定期限完成該設施、設備之改善、遷移或拆除。</w:t>
      </w:r>
    </w:p>
    <w:p w:rsidR="00000000" w:rsidDel="00000000" w:rsidP="00000000" w:rsidRDefault="00000000" w:rsidRPr="00000000" w14:paraId="00000035">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前項固定設施、設備屬於原同意設置之公用事業設施、設備，主管機關應協助規劃適合之方式或地點，辦理設施、設備之改善、遷移或拆除。</w:t>
      </w:r>
    </w:p>
    <w:p w:rsidR="00000000" w:rsidDel="00000000" w:rsidP="00000000" w:rsidRDefault="00000000" w:rsidRPr="00000000" w14:paraId="00000036">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第一項期限，不得少於三個月。</w:t>
      </w:r>
    </w:p>
    <w:p w:rsidR="00000000" w:rsidDel="00000000" w:rsidP="00000000" w:rsidRDefault="00000000" w:rsidRPr="00000000" w14:paraId="00000037">
      <w:pPr>
        <w:spacing w:line="445.0909254545454" w:lineRule="auto"/>
        <w:ind w:left="-220" w:firstLine="0"/>
        <w:jc w:val="left"/>
        <w:rPr>
          <w:b w:val="1"/>
          <w:color w:val="993399"/>
          <w:sz w:val="32"/>
          <w:szCs w:val="32"/>
        </w:rPr>
      </w:pPr>
      <w:hyperlink r:id="rId14">
        <w:r w:rsidDel="00000000" w:rsidR="00000000" w:rsidRPr="00000000">
          <w:rPr>
            <w:b w:val="1"/>
            <w:color w:val="993399"/>
            <w:sz w:val="32"/>
            <w:szCs w:val="32"/>
            <w:rtl w:val="0"/>
          </w:rPr>
          <w:t xml:space="preserve">第 9 條</w:t>
        </w:r>
      </w:hyperlink>
      <w:r w:rsidDel="00000000" w:rsidR="00000000" w:rsidRPr="00000000">
        <w:rPr>
          <w:rtl w:val="0"/>
        </w:rPr>
      </w:r>
    </w:p>
    <w:p w:rsidR="00000000" w:rsidDel="00000000" w:rsidP="00000000" w:rsidRDefault="00000000" w:rsidRPr="00000000" w14:paraId="00000038">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建築物騎樓及無遮簷人行道地平面，未與鄰接地平面齊平者，由直轄市、縣（市）主管機關指定路段統一重修。</w:t>
      </w:r>
    </w:p>
    <w:p w:rsidR="00000000" w:rsidDel="00000000" w:rsidP="00000000" w:rsidRDefault="00000000" w:rsidRPr="00000000" w14:paraId="00000039">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前項地平面，經直轄市、縣（市）主管機關統一重修後，因擅自改建致不合市區道路及附屬工程設計標準或妨礙行人通行者，直轄市、縣（市）主管機關應以書面通知該建築物所有權人、使用人或管理人限期於二個月內自行改善。</w:t>
      </w:r>
    </w:p>
    <w:p w:rsidR="00000000" w:rsidDel="00000000" w:rsidP="00000000" w:rsidRDefault="00000000" w:rsidRPr="00000000" w14:paraId="0000003A">
      <w:pPr>
        <w:spacing w:line="445.0909254545454" w:lineRule="auto"/>
        <w:ind w:left="-220" w:firstLine="0"/>
        <w:jc w:val="left"/>
        <w:rPr>
          <w:b w:val="1"/>
          <w:color w:val="993399"/>
          <w:sz w:val="32"/>
          <w:szCs w:val="32"/>
        </w:rPr>
      </w:pPr>
      <w:hyperlink r:id="rId15">
        <w:r w:rsidDel="00000000" w:rsidR="00000000" w:rsidRPr="00000000">
          <w:rPr>
            <w:b w:val="1"/>
            <w:color w:val="993399"/>
            <w:sz w:val="32"/>
            <w:szCs w:val="32"/>
            <w:rtl w:val="0"/>
          </w:rPr>
          <w:t xml:space="preserve">第 10 條</w:t>
        </w:r>
      </w:hyperlink>
      <w:r w:rsidDel="00000000" w:rsidR="00000000" w:rsidRPr="00000000">
        <w:rPr>
          <w:rtl w:val="0"/>
        </w:rPr>
      </w:r>
    </w:p>
    <w:p w:rsidR="00000000" w:rsidDel="00000000" w:rsidP="00000000" w:rsidRDefault="00000000" w:rsidRPr="00000000" w14:paraId="0000003B">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中央主管機關應會同交通部每年考評及公布各直轄市、縣（市）主管機關行人交通安全設施改善計畫之執行成效。</w:t>
      </w:r>
    </w:p>
    <w:p w:rsidR="00000000" w:rsidDel="00000000" w:rsidP="00000000" w:rsidRDefault="00000000" w:rsidRPr="00000000" w14:paraId="0000003C">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各直轄市、縣（市）主管機關年度考評績效不佳者，中央主管機關及交通部得減列相關道路交通改善計畫之補助額度。</w:t>
      </w:r>
    </w:p>
    <w:p w:rsidR="00000000" w:rsidDel="00000000" w:rsidP="00000000" w:rsidRDefault="00000000" w:rsidRPr="00000000" w14:paraId="0000003D">
      <w:pPr>
        <w:spacing w:line="445.0909254545454" w:lineRule="auto"/>
        <w:ind w:left="-220" w:firstLine="0"/>
        <w:jc w:val="left"/>
        <w:rPr>
          <w:b w:val="1"/>
          <w:color w:val="993399"/>
          <w:sz w:val="32"/>
          <w:szCs w:val="32"/>
        </w:rPr>
      </w:pPr>
      <w:hyperlink r:id="rId16">
        <w:r w:rsidDel="00000000" w:rsidR="00000000" w:rsidRPr="00000000">
          <w:rPr>
            <w:b w:val="1"/>
            <w:color w:val="993399"/>
            <w:sz w:val="32"/>
            <w:szCs w:val="32"/>
            <w:rtl w:val="0"/>
          </w:rPr>
          <w:t xml:space="preserve">第 11 條</w:t>
        </w:r>
      </w:hyperlink>
      <w:r w:rsidDel="00000000" w:rsidR="00000000" w:rsidRPr="00000000">
        <w:rPr>
          <w:rtl w:val="0"/>
        </w:rPr>
      </w:r>
    </w:p>
    <w:p w:rsidR="00000000" w:rsidDel="00000000" w:rsidP="00000000" w:rsidRDefault="00000000" w:rsidRPr="00000000" w14:paraId="0000003E">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未依第八條第一項規定期限完成改善、遷移或拆除者，由直轄市、縣（市）主管機關處該管管理機關（構）、所有權人、使用人或管理人新臺幣三萬元以上十五萬元以下罰鍰，並得按次處罰。</w:t>
      </w:r>
    </w:p>
    <w:p w:rsidR="00000000" w:rsidDel="00000000" w:rsidP="00000000" w:rsidRDefault="00000000" w:rsidRPr="00000000" w14:paraId="0000003F">
      <w:pPr>
        <w:spacing w:line="445.0909254545454" w:lineRule="auto"/>
        <w:ind w:left="-220" w:firstLine="0"/>
        <w:jc w:val="left"/>
        <w:rPr>
          <w:b w:val="1"/>
          <w:color w:val="993399"/>
          <w:sz w:val="32"/>
          <w:szCs w:val="32"/>
        </w:rPr>
      </w:pPr>
      <w:hyperlink r:id="rId17">
        <w:r w:rsidDel="00000000" w:rsidR="00000000" w:rsidRPr="00000000">
          <w:rPr>
            <w:b w:val="1"/>
            <w:color w:val="993399"/>
            <w:sz w:val="32"/>
            <w:szCs w:val="32"/>
            <w:rtl w:val="0"/>
          </w:rPr>
          <w:t xml:space="preserve">第 12 條</w:t>
        </w:r>
      </w:hyperlink>
      <w:r w:rsidDel="00000000" w:rsidR="00000000" w:rsidRPr="00000000">
        <w:rPr>
          <w:rtl w:val="0"/>
        </w:rPr>
      </w:r>
    </w:p>
    <w:p w:rsidR="00000000" w:rsidDel="00000000" w:rsidP="00000000" w:rsidRDefault="00000000" w:rsidRPr="00000000" w14:paraId="00000040">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未依第九條第二項規定期限完成改善者，由直轄市、縣（市）主管機關處該建築物所有權人、使用人或管理人新臺幣五千元以上二萬五千元以下罰鍰，並得按次處罰。</w:t>
      </w:r>
    </w:p>
    <w:p w:rsidR="00000000" w:rsidDel="00000000" w:rsidP="00000000" w:rsidRDefault="00000000" w:rsidRPr="00000000" w14:paraId="00000041">
      <w:pPr>
        <w:spacing w:line="445.0909254545454" w:lineRule="auto"/>
        <w:ind w:left="-220" w:firstLine="0"/>
        <w:jc w:val="left"/>
        <w:rPr>
          <w:b w:val="1"/>
          <w:color w:val="993399"/>
          <w:sz w:val="32"/>
          <w:szCs w:val="32"/>
        </w:rPr>
      </w:pPr>
      <w:hyperlink r:id="rId18">
        <w:r w:rsidDel="00000000" w:rsidR="00000000" w:rsidRPr="00000000">
          <w:rPr>
            <w:b w:val="1"/>
            <w:color w:val="993399"/>
            <w:sz w:val="32"/>
            <w:szCs w:val="32"/>
            <w:rtl w:val="0"/>
          </w:rPr>
          <w:t xml:space="preserve">第 13 條</w:t>
        </w:r>
      </w:hyperlink>
      <w:r w:rsidDel="00000000" w:rsidR="00000000" w:rsidRPr="00000000">
        <w:rPr>
          <w:rtl w:val="0"/>
        </w:rPr>
      </w:r>
    </w:p>
    <w:p w:rsidR="00000000" w:rsidDel="00000000" w:rsidP="00000000" w:rsidRDefault="00000000" w:rsidRPr="00000000" w14:paraId="00000042">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本條例施行細則，由中央主管機關會同交通部定之。</w:t>
      </w:r>
    </w:p>
    <w:p w:rsidR="00000000" w:rsidDel="00000000" w:rsidP="00000000" w:rsidRDefault="00000000" w:rsidRPr="00000000" w14:paraId="00000043">
      <w:pPr>
        <w:spacing w:line="445.0909254545454" w:lineRule="auto"/>
        <w:ind w:left="-220" w:firstLine="0"/>
        <w:jc w:val="left"/>
        <w:rPr>
          <w:b w:val="1"/>
          <w:color w:val="993399"/>
          <w:sz w:val="32"/>
          <w:szCs w:val="32"/>
        </w:rPr>
      </w:pPr>
      <w:hyperlink r:id="rId19">
        <w:r w:rsidDel="00000000" w:rsidR="00000000" w:rsidRPr="00000000">
          <w:rPr>
            <w:b w:val="1"/>
            <w:color w:val="993399"/>
            <w:sz w:val="32"/>
            <w:szCs w:val="32"/>
            <w:rtl w:val="0"/>
          </w:rPr>
          <w:t xml:space="preserve">第 14 條</w:t>
        </w:r>
      </w:hyperlink>
      <w:r w:rsidDel="00000000" w:rsidR="00000000" w:rsidRPr="00000000">
        <w:rPr>
          <w:rtl w:val="0"/>
        </w:rPr>
      </w:r>
    </w:p>
    <w:p w:rsidR="00000000" w:rsidDel="00000000" w:rsidP="00000000" w:rsidRDefault="00000000" w:rsidRPr="00000000" w14:paraId="00000044">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本條例施行日期，由行政院定之。</w:t>
      </w:r>
    </w:p>
    <w:p w:rsidR="00000000" w:rsidDel="00000000" w:rsidP="00000000" w:rsidRDefault="00000000" w:rsidRPr="00000000" w14:paraId="00000045">
      <w:pPr>
        <w:spacing w:after="120" w:lineRule="auto"/>
        <w:ind w:left="-220" w:right="-220" w:firstLine="0"/>
        <w:rPr>
          <w:b w:val="1"/>
          <w:sz w:val="32"/>
          <w:szCs w:val="32"/>
        </w:rPr>
      </w:pPr>
      <w:r w:rsidDel="00000000" w:rsidR="00000000" w:rsidRPr="00000000">
        <w:rPr>
          <w:rFonts w:ascii="Arial Unicode MS" w:cs="Arial Unicode MS" w:eastAsia="Arial Unicode MS" w:hAnsi="Arial Unicode MS"/>
          <w:b w:val="1"/>
          <w:sz w:val="32"/>
          <w:szCs w:val="32"/>
          <w:rtl w:val="0"/>
        </w:rPr>
        <w:t xml:space="preserve">                       出處：全國法規資料庫</w:t>
      </w:r>
    </w:p>
    <w:p w:rsidR="00000000" w:rsidDel="00000000" w:rsidP="00000000" w:rsidRDefault="00000000" w:rsidRPr="00000000" w14:paraId="00000046">
      <w:pPr>
        <w:rPr>
          <w:b w:val="1"/>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law.moj.gov.tw/LawClass/LawSingle.aspx?pcode=D0070302&amp;flno=6" TargetMode="External"/><Relationship Id="rId10" Type="http://schemas.openxmlformats.org/officeDocument/2006/relationships/hyperlink" Target="https://law.moj.gov.tw/LawClass/LawSingle.aspx?pcode=D0070302&amp;flno=5" TargetMode="External"/><Relationship Id="rId13" Type="http://schemas.openxmlformats.org/officeDocument/2006/relationships/hyperlink" Target="https://law.moj.gov.tw/LawClass/LawSingle.aspx?pcode=D0070302&amp;flno=8" TargetMode="External"/><Relationship Id="rId12" Type="http://schemas.openxmlformats.org/officeDocument/2006/relationships/hyperlink" Target="https://law.moj.gov.tw/LawClass/LawSingle.aspx?pcode=D0070302&amp;flno=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aw.moj.gov.tw/LawClass/LawSingle.aspx?pcode=D0070302&amp;flno=4" TargetMode="External"/><Relationship Id="rId15" Type="http://schemas.openxmlformats.org/officeDocument/2006/relationships/hyperlink" Target="https://law.moj.gov.tw/LawClass/LawSingle.aspx?pcode=D0070302&amp;flno=10" TargetMode="External"/><Relationship Id="rId14" Type="http://schemas.openxmlformats.org/officeDocument/2006/relationships/hyperlink" Target="https://law.moj.gov.tw/LawClass/LawSingle.aspx?pcode=D0070302&amp;flno=9" TargetMode="External"/><Relationship Id="rId17" Type="http://schemas.openxmlformats.org/officeDocument/2006/relationships/hyperlink" Target="https://law.moj.gov.tw/LawClass/LawSingle.aspx?pcode=D0070302&amp;flno=12" TargetMode="External"/><Relationship Id="rId16" Type="http://schemas.openxmlformats.org/officeDocument/2006/relationships/hyperlink" Target="https://law.moj.gov.tw/LawClass/LawSingle.aspx?pcode=D0070302&amp;flno=11" TargetMode="External"/><Relationship Id="rId5" Type="http://schemas.openxmlformats.org/officeDocument/2006/relationships/styles" Target="styles.xml"/><Relationship Id="rId19" Type="http://schemas.openxmlformats.org/officeDocument/2006/relationships/hyperlink" Target="https://law.moj.gov.tw/LawClass/LawSingle.aspx?pcode=D0070302&amp;flno=14" TargetMode="External"/><Relationship Id="rId6" Type="http://schemas.openxmlformats.org/officeDocument/2006/relationships/hyperlink" Target="https://law.moj.gov.tw/LawClass/LawSingle.aspx?pcode=D0070302&amp;flno=1" TargetMode="External"/><Relationship Id="rId18" Type="http://schemas.openxmlformats.org/officeDocument/2006/relationships/hyperlink" Target="https://law.moj.gov.tw/LawClass/LawSingle.aspx?pcode=D0070302&amp;flno=13" TargetMode="External"/><Relationship Id="rId7" Type="http://schemas.openxmlformats.org/officeDocument/2006/relationships/hyperlink" Target="https://law.moj.gov.tw/LawClass/LawSingle.aspx?pcode=D0070302&amp;flno=2" TargetMode="External"/><Relationship Id="rId8" Type="http://schemas.openxmlformats.org/officeDocument/2006/relationships/hyperlink" Target="https://law.moj.gov.tw/LawClass/LawSingle.aspx?pcode=D0070302&amp;flno=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