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作者：徐晞恩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早在希臘時代(西元前四百多年)希波克拉提斯(素有醫學之父之稱)，就曾提到「藥食同源」的概念，他提到「你的食物就是你的藥方，你的藥方就是你的食物。」《本草求真．卷七食物》(清．黃宮繡)記載「食物入口，等於藥之治病，同為一理(Let food be the medicine and medicine be the food)」，也是同樣的觀點。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       </w:t>
      </w: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中藥材可以是藥材也可以是食材，取決於其使用方式和目的。 有些中藥材，如枸杞、紅棗等，在日常生活中常被用作食材，具有保健作用；而另一些則經過專業加工後，作為治療疾病的藥材使用，例如當歸、黃耆等。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       這些藥食同源的食物，「正確且適量」的服用之，依循前面所提之「</w:t>
      </w: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藥草於生活中應用的四種特性與原則</w:t>
      </w: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」</w:t>
      </w: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將會是有益於身體的。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Fonts w:ascii="PMingLiu" w:cs="PMingLiu" w:eastAsia="PMingLiu" w:hAnsi="PMingLiu"/>
          <w:sz w:val="26"/>
          <w:szCs w:val="26"/>
          <w:rtl w:val="0"/>
        </w:rPr>
        <w:t xml:space="preserve">　　依據衛生福利部食品藥物管理署2018年2月13日發文衛部中字第1071860124號「可同時提供食品使用之中藥材」品項共計37項。我們大致可以分成七大類：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2735"/>
        <w:gridCol w:w="1376"/>
        <w:gridCol w:w="2772"/>
        <w:tblGridChange w:id="0">
          <w:tblGrid>
            <w:gridCol w:w="1413"/>
            <w:gridCol w:w="2735"/>
            <w:gridCol w:w="1376"/>
            <w:gridCol w:w="27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一、補益類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二、消食理氣類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百合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潤肺止咳、養心安神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陳皮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理氣健脾、燥濕化痰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山藥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補脾養胃、生津益肺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山楂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消食化積、活血散瘀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龍眼肉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補心脾、養血安神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小茴香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溫中散寒、理氣止痛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枸杞子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補肝腎、明目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八角茴香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溫中理氣、香料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大棗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補中益氣、養血安神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草豆蔻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燥濕行氣、暖脾胃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芡實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補脾止瀉、益腎固精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砂仁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行氣化濕、開胃消食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蓮子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補脾止瀉、養心安神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三、清熱類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赤小豆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利水消腫、健脾去濕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薏苡仁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健脾利濕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菊花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清肝明目、平肝散風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黃精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補脾養肺、益腎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決明子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清肝明目、潤腸通便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石斛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養胃生津、滋陰清熱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絞股藍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清熱解毒、降血脂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人參花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補氣養心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五、海藻礦物類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四、止咳化痰類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昆布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軟堅散結、消痰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生薑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溫中止嘔、發散風寒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海藻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軟堅散結、利水消腫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溫中行氣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牡蠣殼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重鎮安神、軟堅散結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蒜/小蒜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溫中行氣、殺蟲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六、行血祛瘀類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薄荷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疏風清熱、利咽止癢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七、其他特殊用途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烏梅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收斂生津、斂肺止咳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品名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功效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秦椒/花椒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溫中止痛、除濕止癢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羅勒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理氣消腫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胡椒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溫中止痛、散寒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馬齒莧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清熱解毒、利水消腫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肉豆蔻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溫中行氣止瀉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荷葉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清暑利濕、升清降濁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銀耳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潤肺滋陰、養顏美容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276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