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ED" w:rsidRPr="00D074ED" w:rsidRDefault="00D074ED" w:rsidP="00D074ED">
      <w:pPr>
        <w:widowControl/>
        <w:spacing w:after="225" w:line="360" w:lineRule="atLeast"/>
        <w:rPr>
          <w:rFonts w:ascii="Verdana" w:eastAsia="新細明體" w:hAnsi="Verdana" w:cs="新細明體"/>
          <w:color w:val="2A2A2A"/>
          <w:kern w:val="0"/>
          <w:sz w:val="28"/>
          <w:szCs w:val="28"/>
        </w:rPr>
      </w:pPr>
      <w:r w:rsidRPr="00D074ED">
        <w:rPr>
          <w:rFonts w:ascii="Verdana" w:eastAsia="新細明體" w:hAnsi="Verdana" w:cs="新細明體"/>
          <w:noProof/>
          <w:color w:val="2A2A2A"/>
          <w:kern w:val="0"/>
          <w:sz w:val="28"/>
          <w:szCs w:val="28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666750"/>
            <wp:effectExtent l="19050" t="0" r="0" b="0"/>
            <wp:wrapSquare wrapText="bothSides"/>
            <wp:docPr id="1" name="圖片 2" descr="http://www.imb.tcu.edu.tw/Userdata/Image/Userdata/anren/2012-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b.tcu.edu.tw/Userdata/Image/Userdata/anren/2012-an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>胡安仁</w:t>
      </w:r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>(</w:t>
      </w:r>
      <w:proofErr w:type="spellStart"/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>Anren</w:t>
      </w:r>
      <w:proofErr w:type="spellEnd"/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>Hu</w:t>
      </w:r>
      <w:proofErr w:type="spellEnd"/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t>)</w:t>
      </w:r>
      <w:r w:rsidRPr="00D074ED">
        <w:rPr>
          <w:rFonts w:ascii="Verdana" w:eastAsia="新細明體" w:hAnsi="Verdana" w:cs="新細明體"/>
          <w:color w:val="0000FF"/>
          <w:kern w:val="0"/>
          <w:sz w:val="28"/>
          <w:szCs w:val="28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醫學檢驗生物技術學系暨醫學生物技術研究所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副教授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我們在和敬樓四樓：辦公室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B406,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實驗室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B402 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br/>
        <w:t> Tel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886-3856-5301 ext.2334 (Off) / 2335 (Lab) Email:</w:t>
      </w:r>
      <w:hyperlink r:id="rId6" w:history="1">
        <w:r w:rsidRPr="00D074ED">
          <w:rPr>
            <w:rFonts w:ascii="Verdana" w:eastAsia="新細明體" w:hAnsi="Verdana" w:cs="新細明體"/>
            <w:b/>
            <w:bCs/>
            <w:color w:val="505050"/>
            <w:kern w:val="0"/>
            <w:sz w:val="28"/>
            <w:szCs w:val="28"/>
          </w:rPr>
          <w:t>anren@mail.tcu.edu.tw</w:t>
        </w:r>
      </w:hyperlink>
    </w:p>
    <w:p w:rsidR="00D074ED" w:rsidRPr="00D074ED" w:rsidRDefault="00D074ED" w:rsidP="00D074ED">
      <w:pPr>
        <w:widowControl/>
        <w:spacing w:after="225" w:line="360" w:lineRule="atLeast"/>
        <w:rPr>
          <w:rFonts w:ascii="Verdana" w:eastAsia="新細明體" w:hAnsi="Verdana" w:cs="新細明體"/>
          <w:color w:val="2A2A2A"/>
          <w:kern w:val="0"/>
          <w:sz w:val="28"/>
          <w:szCs w:val="28"/>
        </w:rPr>
      </w:pP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歡迎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研究生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 &amp;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專題生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28"/>
          <w:szCs w:val="28"/>
        </w:rPr>
        <w:t>加入</w:t>
      </w:r>
    </w:p>
    <w:p w:rsidR="00D074ED" w:rsidRPr="00D074ED" w:rsidRDefault="00D074ED" w:rsidP="00D074ED">
      <w:pPr>
        <w:widowControl/>
        <w:spacing w:after="225" w:line="360" w:lineRule="atLeast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生物質譜研究室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(Biomass Spectrometry Lab.)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1. Research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：主要是以生物質譜技術應用於醫學檢驗、微生物蛋白體及毒藥物檢測研究。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質譜儀為醫藥、生化、環境及有機各領域極為重要的分析儀器，本研究室以開發與質譜儀相關之技術和方法為主要的研究方向，希望藉由這些研究而提昇上述各領域的發展。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研究室主要從事生物及有機質譜相關的應用研究，包括：結合各式分離技術之質譜應用研究、質譜儀於各式微生物的鑑定及抗菌技術開發、癌症及其他疾病相關蛋白質或其他生物指標的建立，藥毒物的分析、質譜相關的分析方法開發等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研究室精密儀器大致上可以分為兩大類，包括微量分離的儀器設備與質譜儀。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一、質譜儀：「液相層析質譜儀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(LC/MS)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」兩台、「氣相層析質譜儀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(GC/MS)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」四台與「基質輔助雷射脫附游離飛行時間質譜儀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(MALDI-TOF MS)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二、分離儀器：「毛細管電泳儀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(CE)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」兩台、「液相層析儀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(HPLC)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」兩台、膠體電泳儀、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PCR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、「吹捕熱脫附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(Purge &amp; Trap Thermo-desorption)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」及「頂空採樣儀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Headspace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）裝置」各壹台。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目前研究方向：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a.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應用現有生物質譜技術：如微灑游離質譜法（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Nanospray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Ionization Mass Spectrometry,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nano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-ESI/MS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）及基質輔助雷射脫附游離質譜法（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Matrix-Assisted Laser Desorption Ionization, MALDI/MS))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結合各式生化及醫學分析技術於微生物物種（包括噬菌體、細菌）的快速鑑定。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b.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利用蛋白體學快速診斷病源體及其抗藥性（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Rapid Diagnosis for Superbug by Shotgun Proteomics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）。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c.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開發新質譜技術快速偵測毒藥物（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Rapid Screening of Poisons by Mass Spectrometry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）：毒品、河豚毒、藻毒等。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d.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以生物質譜分析技術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(Biological Mass Spectrometry)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結合層析及電泳技術來搜尋與各式癌症及感染細胞有關的生物指標，計畫主要以質譜結合蛋白質體資料庫，快速搜尋異常細胞內所含的特殊脂質、胜肽或蛋白質，進而建立篩檢疾病的方法。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lastRenderedPageBreak/>
        <w:t>2. Education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• National Dong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Hwa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University, Ph.D., 2007.01 Analytical Chemistry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• National Chung Kung University, M.S., 1991.06 Analytical Chemistry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• Chung Yuan University, B.S., 1987.07 Chemical Engineer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3. Employments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經濟部標準檢驗局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國家標準技術委員會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委員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2011.07-2013.06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國立東華大學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化學系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兼任副教授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2009.08-2010.07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濫用藥物檢驗中心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主任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2007.08-2009.07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運動員禁藥檢驗中心分析組組長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1996.09-1998.04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加拿大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Quebec University NDCC (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國家藥檢實驗室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)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研究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1996 &amp; 1997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工研院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工業安全衛生技術發展中心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副研究員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1991.07-1992.09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『勞工衛生管理師』安瑞勞師衛證字第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2506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號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1992.02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4. Rewards and honors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100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學年度研究論文成績卓越獎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99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學年度優良導師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99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”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普通化學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”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課程教材上網獎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99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學年度研究論文成績卓越獎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96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學年度研究論文成績卓越獎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95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學年度研究論文成績卓越獎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慈濟大學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94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學年度研究論文成績卓越獎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5. Members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中國化學學會會員（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1989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中國地質學會會員（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1993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美國質譜學會會員（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1997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台灣環境分析學會會員（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1997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台灣質譜學會創始會員（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2003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台灣層析暨分離科技學會（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2008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�P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台灣蛋白體學會（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2009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年起）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6. Special techniques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•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生物及有機質譜分析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•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分離技術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 xml:space="preserve">•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工業分析服務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7. Research Interests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lastRenderedPageBreak/>
        <w:t>�P Microbial Proteomics (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微生物蛋白體學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)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�P Antimicrobial Studies (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抗菌研究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)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br/>
        <w:t>�P Toxicological Analysis (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毒藥物分析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)</w:t>
      </w:r>
      <w:r w:rsidRPr="00D074ED">
        <w:rPr>
          <w:rFonts w:ascii="Verdana" w:eastAsia="新細明體" w:hAnsi="Verdana" w:cs="新細明體"/>
          <w:color w:val="2A2A2A"/>
          <w:kern w:val="0"/>
          <w:sz w:val="16"/>
        </w:rPr>
        <w:t> </w:t>
      </w:r>
    </w:p>
    <w:p w:rsidR="00D074ED" w:rsidRPr="00D074ED" w:rsidRDefault="00D074ED" w:rsidP="00D074ED">
      <w:pPr>
        <w:widowControl/>
        <w:spacing w:after="225" w:line="360" w:lineRule="atLeast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8. Publications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：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Chang,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Chih-Jui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; Lin,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Jyun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-Han; Chang, Kai-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; Lai,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Meng-Jiun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;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Rohini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Rondla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;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* (2013, Feb). Diagnosis of β-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Lactam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Resistance in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Acinetobacter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baumannii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Using Shotgun Proteomics and LC-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Nano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Electrospray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Ionization Ion Trap Mass Spectrometry . Analytical Chemistry, 85, 2802–2808. (SCI, IF=5.856, 3/73, ANALYTICAL CHEMISTRY). NSC 98-2113-M-320-002-MY2.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Liang-Yu Chen*,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Chih-Jui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Chang* (2013, Feb). The Degradation Mechanism of Toxic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Atractyloside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in Herbal Medicines by Decoction . Molecules, 18, 2018-2028. (SCI, IF=2.386, 26/56, ORGANIC CHEMISTRY). NSC 100-2113-M-130-001-MY2.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Chien-Hua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Chu, Chi-Ming Chiu,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-Chung Wu,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-Ping Ye,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Kuo-Chieh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Ho*, And Liang-Yu Chen* (2012, Jun). Toxicity Attenuation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Atractyloside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in Traditional Chinese Medicinal Herbs after Hydrothermal Processing. Botanical Studies, 53, 459-465 . (SCI, IF=1.103, 108/190, PLANT SCIENCES). NSC 100-2113-M-130-001-MY2.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Puchakayala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Muralidhar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Reddy,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Rondla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Rohini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Edulla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Ravi Krishna,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Vadde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Ravinder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(2012, Mar). Synthesis, Spectral and Antibacterial Studies of Copper(II)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Tetraaza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Macrocyclic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Complexes. International Journal of Molecular Sciences, 13, 4982-4992. (SCI, IF 2.598, 45/154, MULTIDISCIPLINARY CHEMISTRY). NSC 100-2113-M-130-001-MY2.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Rondla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Rohini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P.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Muralidhar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Reddy,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Kanne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Shanker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Kodipelli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Kanthaiah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Vadde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Ravinder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and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* (2011, Jul). Synthesis of Mono, Bis-2-(2-Arylideneaminophenyl)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Indole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Azomethines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as Potential Antimicrobial Agents. Archives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Pharmacal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Research, 34, 1077-1084. (SCI, IF 1.592, 38/59, MEDICINAL CHEMISTRY). NSC 98-2113-M-320-002-MY2.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Geeta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Budige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P.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Muralidhar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Reddy, K.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Shobha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And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Vadde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Ravinder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(2011, Feb). Synthesis, Characterization and Biological Evaluation of Mononuclear Co(II), Ni(II), Cu(II) and Pd(II) Complexes with New N2O2 Schiff base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Ligands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. Chemical &amp; Pharmaceutical Bulletin , 59, 166-171.. (SCI, IF 1.592, 64/154, MULTIDISCIPLINARY CHEMISTRY). NSC 98-2113-M-320-002-MY2.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Kai-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Chang;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Nien-Tsung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Lin;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; Yu-Shan Lin; Li-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Kuang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Chen;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Meng-Jiun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Lai* (2011, Jan). Genomic Analysis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Bacteriophage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&lt;phi&gt;AB1, a &lt;phi&gt;KMV-like Virus Infecting Multidrug-Resistant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Acinetobacter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baumannii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 Genomics, 97,249-255. (SCI, IF=3.019, 48/158, BIOTECHNOLOGY &amp; APPLIED MICROBIOLOGY). NSC 98-2113-M-320-002-MY2.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Meng-Jiun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Lai,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Nien-Tsung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Lin,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Po-Chi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Soo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Li-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Kuang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Chen, Long-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Chen and Kai-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Chih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Chang* (2011, Jan). Antibacterial activity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Acinetobacter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baumannii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phage </w:t>
      </w:r>
      <w:r w:rsidRPr="00D074ED">
        <w:rPr>
          <w:rFonts w:ascii="Arial" w:eastAsia="新細明體" w:hAnsi="Arial" w:cs="Arial"/>
          <w:color w:val="2A2A2A"/>
          <w:kern w:val="0"/>
          <w:sz w:val="16"/>
          <w:szCs w:val="16"/>
        </w:rPr>
        <w:t>ϕ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AB2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endolysin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(LysAB2) against both Gram-positive and Gram-negative bacteria. Applied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lastRenderedPageBreak/>
        <w:t>Microbiology and Biotechnology , 90, 529-539. (SCI, IF 3.425, 39/158, OTECHNOLOGY &amp; APPLIED MICROBIOLOGY). NSC 98-2113-M-320-002-MY2.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Rondla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Rohini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P.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Muralidhar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Reddy,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Kanne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Shanker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Vadde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Ravinder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(2010, Mar). Antimicrobial study of newly synthesized 6-substituted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indolo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[1,2-c]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quinazolines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. European Journal of Medicinal Chemistry, 45, 1200-1205.. (SCI, IF 3.346, 13/59, MEDICINAL CHEMISTRY). NSC 98-2113-M-320-002-MY2.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Rondla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Rohini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P.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Muralidhar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Reddy,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Kanne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Shanker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Vadde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Ravinder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 (2010, Feb). Synthesis of Some New Mono,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Bis-Indolo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[1,2-c]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quinazolines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-Evaluation of their Antimicrobial Studies. Journal of The Brazilian Chemical Society, 21, 897-904. (SCI, IF 1.434, 73/154, MULTIDISCIPLINARY CHEMISTRY). NSC 98-2113-M-320-002-MY2.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本人為通訊作者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Pei-Jen Tsai, and Yen-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Peng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Ho* (2007, May). Identifying bacterial species using CE-MS and SEQUEST with an empirical scoring function. Electrophoresis, 25,1387-1392. (SCI, IF=3.303, 14/73, ANALYTICAL CHEMISTRY).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本人為第一作者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Alan A.-L. Lo,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Yen-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Peng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Ho* (2006, Aug). Identification of microbial mixtures by LC-selective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proteotypic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-peptide analysis(SPA). Journal of Mass Spectrometry, 41,1049-1060. (SCI, IF=2.368, 7/42, SPECTROSCOPY).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Cheng-Tung Chen, Pei-Jen Tsai, and Yen-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Peng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Ho* (2006, Jul). Using Capillary Electrophoresis-Selective Tandem Mass Spectrometry To Identify Pathogens in Clinical Samples. Analytical Chemistry, 78,5124-5133. (SCI, IF=5.856, 3/73, ANALYTICAL CHEMISTRY).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本人為第一作者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Pei-Jen Tsai, and Yen-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Peng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Ho* (2005, Mar). Identification of Microbial Mixtures by Capillary Electrophoresis/Selective Tandem Mass Spectrometry. Analytical Chemistry, 77,1488-1495. (SCI, IF=5.856, 3/73, ANALYTICAL CHEMISTRY). 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本人為第一作者</w:t>
      </w: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Yeh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-Fu Lee, Pi-Shih Lo,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Yueh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-Jan Wang,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Hwei-Hsien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Chen* (2005, Feb). Neonatal toluene exposure alters N-methyl-D-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aspartate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receptor subunit expression in the hippocampus and cerebellum in juvenile rats.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Neuropharmacology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, 48,195-203. (SCI, IF=4.814, 25/261, PHARMACOLOGY &amp; PHARMACY).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Lua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AC*, Lin HR, Tseng YT,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AR and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Yeh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PC, (2003), “Profiles of Urine Samples from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Partiaipants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at Rave Party in Taiwan: Prevalence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Ketaminee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and MDMA Abuse”, Forensic. Sci. Int.,136, 47-51.(SCI, IF 2.301, Ranking: Legal Medicine, 5/13)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Lua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AC*,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AR, Lin BF,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Yeh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PC, Lin HR and Tseng YT, (2003), “Evaluation of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immunoassaye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for the Determination of MDMA and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Cannabinoids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in Urine Samples”, J. Food and Drug Analysis, 11,108-113. (SCI, IF 0.615, Ranking: Food Science &amp; Technology, 83/128)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Yu-Chie Chen*,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(1999) ,”Simultaneous Determination of Trace Benzodiazepines from Drinks by using Direct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Electrospray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Probe/Mass Spectrometry(DEP/MS)”,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Forensci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. Sci. Int., 103, 79-88. (SCI, IF 2.301, Ranking: Legal Medicine, 5/13)</w:t>
      </w:r>
    </w:p>
    <w:p w:rsidR="00D074ED" w:rsidRPr="00D074ED" w:rsidRDefault="00D074ED" w:rsidP="00D074E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color w:val="2A2A2A"/>
          <w:kern w:val="0"/>
          <w:sz w:val="16"/>
          <w:szCs w:val="16"/>
        </w:rPr>
      </w:pPr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Jung-Nan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Oung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*,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Anren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Hu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Jentaie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Shiea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and Ping-Mei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Liew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, (1998) ,“Biomarkers in The Peat Deposit of The </w:t>
      </w:r>
      <w:proofErr w:type="spellStart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>Toushe</w:t>
      </w:r>
      <w:proofErr w:type="spellEnd"/>
      <w:r w:rsidRPr="00D074ED">
        <w:rPr>
          <w:rFonts w:ascii="Verdana" w:eastAsia="新細明體" w:hAnsi="Verdana" w:cs="新細明體"/>
          <w:color w:val="2A2A2A"/>
          <w:kern w:val="0"/>
          <w:sz w:val="16"/>
          <w:szCs w:val="16"/>
        </w:rPr>
        <w:t xml:space="preserve"> Basin, Central Taiwan”, J. Geo. Soc. China, 41, 127-142.</w:t>
      </w:r>
    </w:p>
    <w:p w:rsidR="008E089E" w:rsidRDefault="008E089E"/>
    <w:sectPr w:rsidR="008E089E" w:rsidSect="008E08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514"/>
    <w:multiLevelType w:val="multilevel"/>
    <w:tmpl w:val="5B5E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4ED"/>
    <w:rsid w:val="008E089E"/>
    <w:rsid w:val="00D0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074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074ED"/>
  </w:style>
  <w:style w:type="character" w:styleId="a3">
    <w:name w:val="Hyperlink"/>
    <w:basedOn w:val="a0"/>
    <w:uiPriority w:val="99"/>
    <w:semiHidden/>
    <w:unhideWhenUsed/>
    <w:rsid w:val="00D07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to:anren@mail.tcu.edu.t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victorjachiy@gmail.com</dc:creator>
  <cp:keywords/>
  <dc:description/>
  <cp:lastModifiedBy>victorjachiy@gmail.com</cp:lastModifiedBy>
  <cp:revision>1</cp:revision>
  <dcterms:created xsi:type="dcterms:W3CDTF">2015-10-01T13:07:00Z</dcterms:created>
  <dcterms:modified xsi:type="dcterms:W3CDTF">2015-10-01T13:08:00Z</dcterms:modified>
</cp:coreProperties>
</file>